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111760</wp:posOffset>
            </wp:positionV>
            <wp:extent cx="32835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121920</wp:posOffset>
            </wp:positionV>
            <wp:extent cx="3283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62" w:lineRule="exact"/>
        <w:rPr>
          <w:sz w:val="24"/>
          <w:szCs w:val="24"/>
          <w:color w:val="auto"/>
        </w:rPr>
      </w:pPr>
    </w:p>
    <w:p>
      <w:pPr>
        <w:ind w:left="660" w:hanging="637"/>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9" w:lineRule="exact"/>
        <w:rPr>
          <w:sz w:val="24"/>
          <w:szCs w:val="24"/>
          <w:color w:val="auto"/>
        </w:rPr>
      </w:pPr>
    </w:p>
    <w:p>
      <w:pPr>
        <w:ind w:left="660"/>
        <w:spacing w:after="0"/>
        <w:tabs>
          <w:tab w:leader="none" w:pos="3900" w:val="left"/>
        </w:tabs>
        <w:rPr>
          <w:sz w:val="20"/>
          <w:szCs w:val="20"/>
          <w:color w:val="auto"/>
        </w:rPr>
      </w:pPr>
      <w:r>
        <w:rPr>
          <w:rFonts w:ascii="Times New Roman" w:cs="Times New Roman" w:eastAsia="Times New Roman" w:hAnsi="Times New Roman"/>
          <w:sz w:val="18"/>
          <w:szCs w:val="18"/>
          <w:b w:val="1"/>
          <w:bCs w:val="1"/>
          <w:color w:val="auto"/>
        </w:rPr>
        <w:t>For the Fiscal Year Ended</w:t>
      </w:r>
      <w:r>
        <w:rPr>
          <w:sz w:val="20"/>
          <w:szCs w:val="20"/>
          <w:color w:val="auto"/>
        </w:rPr>
        <w:tab/>
      </w:r>
      <w:r>
        <w:rPr>
          <w:rFonts w:ascii="Times New Roman" w:cs="Times New Roman" w:eastAsia="Times New Roman" w:hAnsi="Times New Roman"/>
          <w:sz w:val="16"/>
          <w:szCs w:val="16"/>
          <w:b w:val="1"/>
          <w:bCs w:val="1"/>
          <w:color w:val="auto"/>
        </w:rPr>
        <w:t>December 31, 2025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700" w:hanging="664"/>
        <w:spacing w:after="0" w:line="205" w:lineRule="auto"/>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700"/>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140335</wp:posOffset>
            </wp:positionV>
            <wp:extent cx="3283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Westlake Corporation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85725</wp:posOffset>
            </wp:positionV>
            <wp:extent cx="3283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30" w:type="dxa"/>
        <w:tblCellMar>
          <w:top w:w="0" w:type="dxa"/>
          <w:left w:w="0" w:type="dxa"/>
          <w:bottom w:w="0" w:type="dxa"/>
          <w:right w:w="0" w:type="dxa"/>
        </w:tblCellMar>
      </w:tblPr>
      <w:tr>
        <w:trPr>
          <w:trHeight w:val="220"/>
        </w:trPr>
        <w:tc>
          <w:tcPr>
            <w:tcW w:w="3760" w:type="dxa"/>
            <w:vAlign w:val="bottom"/>
            <w:gridSpan w:val="2"/>
          </w:tcPr>
          <w:p>
            <w:pPr>
              <w:jc w:val="center"/>
              <w:ind w:left="1656"/>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76-0346924</w:t>
            </w:r>
          </w:p>
        </w:tc>
        <w:tc>
          <w:tcPr>
            <w:tcW w:w="1540" w:type="dxa"/>
            <w:vAlign w:val="bottom"/>
          </w:tcPr>
          <w:p>
            <w:pPr>
              <w:spacing w:after="0"/>
              <w:rPr>
                <w:sz w:val="19"/>
                <w:szCs w:val="19"/>
                <w:color w:val="auto"/>
              </w:rPr>
            </w:pPr>
          </w:p>
        </w:tc>
      </w:tr>
      <w:tr>
        <w:trPr>
          <w:trHeight w:val="145"/>
        </w:trPr>
        <w:tc>
          <w:tcPr>
            <w:tcW w:w="3760" w:type="dxa"/>
            <w:vAlign w:val="bottom"/>
            <w:gridSpan w:val="2"/>
          </w:tcPr>
          <w:p>
            <w:pPr>
              <w:jc w:val="center"/>
              <w:ind w:left="1656"/>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1540" w:type="dxa"/>
            <w:vAlign w:val="bottom"/>
          </w:tcPr>
          <w:p>
            <w:pPr>
              <w:spacing w:after="0"/>
              <w:rPr>
                <w:sz w:val="12"/>
                <w:szCs w:val="12"/>
                <w:color w:val="auto"/>
              </w:rPr>
            </w:pPr>
          </w:p>
        </w:tc>
      </w:tr>
      <w:tr>
        <w:trPr>
          <w:trHeight w:val="185"/>
        </w:trPr>
        <w:tc>
          <w:tcPr>
            <w:tcW w:w="3760" w:type="dxa"/>
            <w:vAlign w:val="bottom"/>
            <w:gridSpan w:val="2"/>
          </w:tcPr>
          <w:p>
            <w:pPr>
              <w:jc w:val="center"/>
              <w:ind w:left="1656"/>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540" w:type="dxa"/>
            <w:vAlign w:val="bottom"/>
          </w:tcPr>
          <w:p>
            <w:pPr>
              <w:spacing w:after="0"/>
              <w:rPr>
                <w:sz w:val="16"/>
                <w:szCs w:val="16"/>
                <w:color w:val="auto"/>
              </w:rPr>
            </w:pPr>
          </w:p>
        </w:tc>
      </w:tr>
      <w:tr>
        <w:trPr>
          <w:trHeight w:val="306"/>
        </w:trPr>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2801 Post Oak Boulevard, Suite 600</w:t>
            </w:r>
          </w:p>
        </w:tc>
        <w:tc>
          <w:tcPr>
            <w:tcW w:w="2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6"/>
        </w:trPr>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6"/>
              </w:rPr>
              <w:t>Houston, Texas 77056</w:t>
            </w:r>
          </w:p>
        </w:tc>
        <w:tc>
          <w:tcPr>
            <w:tcW w:w="2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85"/>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3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6"/>
        </w:trPr>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(713) 960-9111</w:t>
            </w:r>
          </w:p>
        </w:tc>
        <w:tc>
          <w:tcPr>
            <w:tcW w:w="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5"/>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3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444"/>
        </w:trPr>
        <w:tc>
          <w:tcPr>
            <w:tcW w:w="7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9"/>
        </w:trPr>
        <w:tc>
          <w:tcPr>
            <w:tcW w:w="3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gridSpan w:val="2"/>
          </w:tcPr>
          <w:p>
            <w:pPr>
              <w:spacing w:after="0"/>
              <w:rPr>
                <w:sz w:val="10"/>
                <w:szCs w:val="10"/>
                <w:color w:val="auto"/>
              </w:rPr>
            </w:pPr>
          </w:p>
        </w:tc>
      </w:tr>
      <w:tr>
        <w:trPr>
          <w:trHeight w:val="217"/>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jc w:val="right"/>
              <w:ind w:right="917"/>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560" w:type="dxa"/>
            <w:vAlign w:val="bottom"/>
            <w:tcBorders>
              <w:bottom w:val="single" w:sz="8" w:color="auto"/>
            </w:tcBorders>
          </w:tcPr>
          <w:p>
            <w:pPr>
              <w:spacing w:after="0"/>
              <w:rPr>
                <w:sz w:val="18"/>
                <w:szCs w:val="18"/>
                <w:color w:val="auto"/>
              </w:rPr>
            </w:pPr>
          </w:p>
        </w:tc>
        <w:tc>
          <w:tcPr>
            <w:tcW w:w="3860" w:type="dxa"/>
            <w:vAlign w:val="bottom"/>
            <w:tcBorders>
              <w:bottom w:val="single" w:sz="8" w:color="auto"/>
              <w:right w:val="single" w:sz="8" w:color="auto"/>
            </w:tcBorders>
            <w:gridSpan w:val="2"/>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17"/>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 $0.01 par value</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jc w:val="right"/>
              <w:ind w:right="1417"/>
              <w:spacing w:after="0"/>
              <w:rPr>
                <w:sz w:val="20"/>
                <w:szCs w:val="20"/>
                <w:color w:val="auto"/>
              </w:rPr>
            </w:pPr>
            <w:r>
              <w:rPr>
                <w:rFonts w:ascii="Times New Roman" w:cs="Times New Roman" w:eastAsia="Times New Roman" w:hAnsi="Times New Roman"/>
                <w:sz w:val="18"/>
                <w:szCs w:val="18"/>
                <w:color w:val="auto"/>
              </w:rPr>
              <w:t>WLK</w:t>
            </w:r>
          </w:p>
        </w:tc>
        <w:tc>
          <w:tcPr>
            <w:tcW w:w="560" w:type="dxa"/>
            <w:vAlign w:val="bottom"/>
            <w:tcBorders>
              <w:bottom w:val="single" w:sz="8" w:color="auto"/>
            </w:tcBorders>
          </w:tcPr>
          <w:p>
            <w:pPr>
              <w:spacing w:after="0"/>
              <w:rPr>
                <w:sz w:val="18"/>
                <w:szCs w:val="18"/>
                <w:color w:val="auto"/>
              </w:rPr>
            </w:pPr>
          </w:p>
        </w:tc>
        <w:tc>
          <w:tcPr>
            <w:tcW w:w="3860" w:type="dxa"/>
            <w:vAlign w:val="bottom"/>
            <w:tcBorders>
              <w:bottom w:val="single" w:sz="8" w:color="auto"/>
              <w:right w:val="single" w:sz="8" w:color="auto"/>
            </w:tcBorders>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6"/>
              </w:rPr>
              <w:t>The New York Stock Exchange</w:t>
            </w:r>
          </w:p>
        </w:tc>
      </w:tr>
      <w:tr>
        <w:trPr>
          <w:trHeight w:val="217"/>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1.625% Senior Notes due 2029</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jc w:val="right"/>
              <w:ind w:right="1337"/>
              <w:spacing w:after="0"/>
              <w:rPr>
                <w:sz w:val="20"/>
                <w:szCs w:val="20"/>
                <w:color w:val="auto"/>
              </w:rPr>
            </w:pPr>
            <w:r>
              <w:rPr>
                <w:rFonts w:ascii="Times New Roman" w:cs="Times New Roman" w:eastAsia="Times New Roman" w:hAnsi="Times New Roman"/>
                <w:sz w:val="18"/>
                <w:szCs w:val="18"/>
                <w:color w:val="auto"/>
              </w:rPr>
              <w:t>WLK29</w:t>
            </w:r>
          </w:p>
        </w:tc>
        <w:tc>
          <w:tcPr>
            <w:tcW w:w="560" w:type="dxa"/>
            <w:vAlign w:val="bottom"/>
            <w:tcBorders>
              <w:bottom w:val="single" w:sz="8" w:color="auto"/>
            </w:tcBorders>
          </w:tcPr>
          <w:p>
            <w:pPr>
              <w:spacing w:after="0"/>
              <w:rPr>
                <w:sz w:val="18"/>
                <w:szCs w:val="18"/>
                <w:color w:val="auto"/>
              </w:rPr>
            </w:pPr>
          </w:p>
        </w:tc>
        <w:tc>
          <w:tcPr>
            <w:tcW w:w="3860" w:type="dxa"/>
            <w:vAlign w:val="bottom"/>
            <w:tcBorders>
              <w:bottom w:val="single" w:sz="8" w:color="auto"/>
              <w:right w:val="single" w:sz="8" w:color="auto"/>
            </w:tcBorders>
            <w:gridSpan w:val="2"/>
          </w:tcPr>
          <w:p>
            <w:pPr>
              <w:jc w:val="center"/>
              <w:ind w:right="472"/>
              <w:spacing w:after="0"/>
              <w:rPr>
                <w:sz w:val="20"/>
                <w:szCs w:val="20"/>
                <w:color w:val="auto"/>
              </w:rPr>
            </w:pPr>
            <w:r>
              <w:rPr>
                <w:rFonts w:ascii="Times New Roman" w:cs="Times New Roman" w:eastAsia="Times New Roman" w:hAnsi="Times New Roman"/>
                <w:sz w:val="18"/>
                <w:szCs w:val="18"/>
                <w:color w:val="auto"/>
                <w:w w:val="96"/>
              </w:rPr>
              <w:t>The New York Stock Exchange</w:t>
            </w:r>
          </w:p>
        </w:tc>
      </w:tr>
      <w:tr>
        <w:trPr>
          <w:trHeight w:val="634"/>
        </w:trPr>
        <w:tc>
          <w:tcPr>
            <w:tcW w:w="7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5"/>
        </w:trPr>
        <w:tc>
          <w:tcPr>
            <w:tcW w:w="9680" w:type="dxa"/>
            <w:vAlign w:val="bottom"/>
            <w:gridSpan w:val="5"/>
          </w:tcPr>
          <w:p>
            <w:pPr>
              <w:ind w:left="380"/>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No</w:t>
            </w:r>
          </w:p>
        </w:tc>
        <w:tc>
          <w:tcPr>
            <w:tcW w:w="1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16"/>
        </w:trPr>
        <w:tc>
          <w:tcPr>
            <w:tcW w:w="96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Exchange Act.</w:t>
            </w:r>
          </w:p>
        </w:tc>
        <w:tc>
          <w:tcPr>
            <w:tcW w:w="15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20" w:lineRule="exact"/>
        <w:rPr>
          <w:sz w:val="24"/>
          <w:szCs w:val="24"/>
          <w:color w:val="auto"/>
        </w:rPr>
      </w:pPr>
    </w:p>
    <w:p>
      <w:pPr>
        <w:ind w:right="18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24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3" w:lineRule="exact"/>
        <w:rPr>
          <w:sz w:val="24"/>
          <w:szCs w:val="24"/>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20" w:type="dxa"/>
        <w:tblCellMar>
          <w:top w:w="0" w:type="dxa"/>
          <w:left w:w="0" w:type="dxa"/>
          <w:bottom w:w="0" w:type="dxa"/>
          <w:right w:w="0" w:type="dxa"/>
        </w:tblCellMar>
      </w:tblPr>
      <w:tr>
        <w:trPr>
          <w:trHeight w:val="29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9"/>
        </w:trPr>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6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ind w:right="14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7" w:lineRule="exact"/>
        <w:rPr>
          <w:sz w:val="24"/>
          <w:szCs w:val="24"/>
          <w:color w:val="auto"/>
        </w:rPr>
      </w:pPr>
    </w:p>
    <w:p>
      <w:pPr>
        <w:ind w:right="18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6" w:lineRule="exact"/>
        <w:rPr>
          <w:sz w:val="24"/>
          <w:szCs w:val="24"/>
          <w:color w:val="auto"/>
        </w:rPr>
      </w:pPr>
    </w:p>
    <w:p>
      <w:pPr>
        <w:ind w:right="62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920" w:orient="portrait"/>
          <w:cols w:equalWidth="0" w:num="1">
            <w:col w:w="11240"/>
          </w:cols>
          <w:pgMar w:left="320" w:top="222" w:right="339" w:bottom="0" w:gutter="0" w:footer="0" w:header="0"/>
        </w:sectPr>
      </w:pPr>
    </w:p>
    <w:bookmarkStart w:id="1" w:name="page2"/>
    <w:bookmarkEnd w:id="1"/>
    <w:p>
      <w:pPr>
        <w:ind w:left="440"/>
        <w:spacing w:after="0" w:line="207" w:lineRule="exact"/>
        <w:tabs>
          <w:tab w:leader="none" w:pos="7820" w:val="left"/>
          <w:tab w:leader="none" w:pos="85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8" w:lineRule="exact"/>
        <w:rPr>
          <w:sz w:val="20"/>
          <w:szCs w:val="20"/>
          <w:color w:val="auto"/>
        </w:rPr>
      </w:pPr>
    </w:p>
    <w:p>
      <w:pPr>
        <w:jc w:val="both"/>
        <w:ind w:right="360" w:firstLine="434"/>
        <w:spacing w:after="0" w:line="256" w:lineRule="auto"/>
        <w:rPr>
          <w:sz w:val="20"/>
          <w:szCs w:val="20"/>
          <w:color w:val="auto"/>
        </w:rPr>
      </w:pPr>
      <w:r>
        <w:rPr>
          <w:rFonts w:ascii="Times New Roman" w:cs="Times New Roman" w:eastAsia="Times New Roman" w:hAnsi="Times New Roman"/>
          <w:sz w:val="18"/>
          <w:szCs w:val="18"/>
          <w:color w:val="auto"/>
        </w:rPr>
        <w:t>The aggregate market value of the registrant's voting stock held by non-affiliates of the registrant on June 30, 2025, the end of the registrant's most recently completed second fiscal quarter, based on a closing price on June 30, 2025 of $75.93 on the New York Stock Exchange was approximately $2.5 billion.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127,910,338 shares of the registrant's common stock outstanding as of February 18, 2026.</w:t>
      </w:r>
    </w:p>
    <w:p>
      <w:pPr>
        <w:spacing w:after="0" w:line="1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Certain information required by Part II and Part III of this Form 10-K is incorporated by reference from the registrant's definitive Proxy Statement to be filed pursuant to Regulation 14A with respect to the registrant's 2026 Annual Meeting of Stockholders to be held on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516255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88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Item</w:t>
            </w:r>
          </w:p>
        </w:tc>
        <w:tc>
          <w:tcPr>
            <w:tcW w:w="9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PART I</w:t>
            </w: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94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9"/>
        </w:trPr>
        <w:tc>
          <w:tcPr>
            <w:tcW w:w="880" w:type="dxa"/>
            <w:vAlign w:val="bottom"/>
            <w:vMerge w:val="continue"/>
          </w:tcPr>
          <w:p>
            <w:pPr>
              <w:spacing w:after="0"/>
              <w:rPr>
                <w:sz w:val="24"/>
                <w:szCs w:val="24"/>
                <w:color w:val="auto"/>
              </w:rPr>
            </w:pPr>
          </w:p>
        </w:tc>
        <w:tc>
          <w:tcPr>
            <w:tcW w:w="9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1A)</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1B)</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1C)</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Cybersecurity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Mine Safety Disclosure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about our Executive Officers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88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Equity Securities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7A)</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9A)</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9B)</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9C)</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88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88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10-K Summary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4"/>
        </w:trPr>
        <w:tc>
          <w:tcPr>
            <w:tcW w:w="88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7"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References in this Annual Report on Form 10-K (this "report") to "we," "our," "us" or like terms refer to Westlake Corporation ("Westlake" or the "Company").</w:t>
      </w:r>
    </w:p>
    <w:p>
      <w:pPr>
        <w:spacing w:after="0" w:line="19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Cautionary Statements about Forward-Looking Statements</w:t>
      </w:r>
    </w:p>
    <w:p>
      <w:pPr>
        <w:spacing w:after="0" w:line="9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safe harbor provisions for forward-looking information. Certain of the statements contained in this Form 10-K are forward-looking statements. All statements, other than statements of historical facts, included in this Form 10-K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4" w:lineRule="exact"/>
        <w:rPr>
          <w:sz w:val="20"/>
          <w:szCs w:val="20"/>
          <w:color w:val="auto"/>
        </w:rPr>
      </w:pPr>
    </w:p>
    <w:p>
      <w:pPr>
        <w:ind w:left="840" w:right="200" w:hanging="322"/>
        <w:spacing w:after="0" w:line="252" w:lineRule="auto"/>
        <w:tabs>
          <w:tab w:leader="none" w:pos="8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timing, outcome and results of integrating the operations of any acquisitions and the ultimate outcome of our operating efficiencies applied to the products and services; the effects of any such acquisition, including the combined company's future financial condition, results of operations, strategies and plans; and expected synergies and other benefits from any such acquisition and our ability to realize such synergies and other benefits;</w:t>
      </w:r>
    </w:p>
    <w:p>
      <w:pPr>
        <w:spacing w:after="0" w:line="51" w:lineRule="exact"/>
        <w:rPr>
          <w:rFonts w:ascii="Times New Roman" w:cs="Times New Roman" w:eastAsia="Times New Roman" w:hAnsi="Times New Roman"/>
          <w:sz w:val="18"/>
          <w:szCs w:val="18"/>
          <w:color w:val="auto"/>
        </w:rPr>
      </w:pPr>
    </w:p>
    <w:p>
      <w:pPr>
        <w:ind w:left="840" w:hanging="322"/>
        <w:spacing w:after="0" w:line="268" w:lineRule="auto"/>
        <w:tabs>
          <w:tab w:leader="none" w:pos="8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the carrying value of our long-lived assets, including tangible assets and intangible assets with finite lives, and the fair value of our reporting units with goodwill;</w:t>
      </w:r>
    </w:p>
    <w:p>
      <w:pPr>
        <w:spacing w:after="0" w:line="37"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rates, margins, cash flows and demand for our products;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the price of crude oil, natural gas, ethane, housing starts and repair and remodeling activity;</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outlook, including elevated interest rates, inflation and possible recession;</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capacities;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conflicts in the Middle East and between Russia and Ukraine;</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agreement;</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obligations under our debt instruments;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dividends;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capacity additions and expansions in the industries in which we compete;</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obligations, funding requirements and investment policies;</w:t>
      </w:r>
    </w:p>
    <w:p>
      <w:pPr>
        <w:spacing w:after="0" w:line="82" w:lineRule="exact"/>
        <w:rPr>
          <w:rFonts w:ascii="Times New Roman" w:cs="Times New Roman" w:eastAsia="Times New Roman" w:hAnsi="Times New Roman"/>
          <w:sz w:val="18"/>
          <w:szCs w:val="18"/>
          <w:color w:val="auto"/>
        </w:rPr>
      </w:pPr>
    </w:p>
    <w:p>
      <w:pPr>
        <w:ind w:left="840" w:right="220" w:hanging="322"/>
        <w:spacing w:after="0" w:line="256" w:lineRule="auto"/>
        <w:tabs>
          <w:tab w:leader="none" w:pos="8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8"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losses under our insurance policies;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 and settlements;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82" w:lineRule="exact"/>
        <w:rPr>
          <w:rFonts w:ascii="Times New Roman" w:cs="Times New Roman" w:eastAsia="Times New Roman" w:hAnsi="Times New Roman"/>
          <w:sz w:val="18"/>
          <w:szCs w:val="18"/>
          <w:color w:val="auto"/>
        </w:rPr>
      </w:pPr>
    </w:p>
    <w:p>
      <w:pPr>
        <w:ind w:left="840" w:right="100" w:hanging="322"/>
        <w:spacing w:after="0" w:line="268" w:lineRule="auto"/>
        <w:tabs>
          <w:tab w:leader="none" w:pos="8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other effects of tariffs, antidumping duties, or other trade remedies imposed by the U.S. government or other governments, and any effects on trading relationships among the United States and other countries; and</w:t>
      </w:r>
    </w:p>
    <w:p>
      <w:pPr>
        <w:spacing w:after="0" w:line="37" w:lineRule="exact"/>
        <w:rPr>
          <w:rFonts w:ascii="Times New Roman" w:cs="Times New Roman" w:eastAsia="Times New Roman" w:hAnsi="Times New Roman"/>
          <w:sz w:val="18"/>
          <w:szCs w:val="18"/>
          <w:color w:val="auto"/>
        </w:rPr>
      </w:pPr>
    </w:p>
    <w:p>
      <w:pPr>
        <w:jc w:val="both"/>
        <w:ind w:left="840" w:right="320" w:hanging="322"/>
        <w:spacing w:after="0" w:line="256" w:lineRule="auto"/>
        <w:tabs>
          <w:tab w:leader="none" w:pos="8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the closures of certain of our facilities, including the units located in Pernis, Netherlands, certain of the North American chlorovinyls production assets located in Louisiana and Mississippi, and the styrene production plant located in Louisiana (such as the timing and amount of recognition of related costs and our expectations regarding our financial performance following such closures).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and those described from time to time in our other filings with the SEC including, but not limited to, the following:</w:t>
      </w:r>
    </w:p>
    <w:p>
      <w:pPr>
        <w:spacing w:after="0" w:line="54" w:lineRule="exact"/>
        <w:rPr>
          <w:sz w:val="20"/>
          <w:szCs w:val="20"/>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and building products industries;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82" w:lineRule="exact"/>
        <w:rPr>
          <w:rFonts w:ascii="Times New Roman" w:cs="Times New Roman" w:eastAsia="Times New Roman" w:hAnsi="Times New Roman"/>
          <w:sz w:val="18"/>
          <w:szCs w:val="18"/>
          <w:color w:val="auto"/>
        </w:rPr>
      </w:pPr>
    </w:p>
    <w:p>
      <w:pPr>
        <w:ind w:left="840" w:right="180" w:hanging="322"/>
        <w:spacing w:after="0" w:line="268" w:lineRule="auto"/>
        <w:tabs>
          <w:tab w:leader="none" w:pos="8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European and worldwide economies, including those due to political tensions and conflict in the Middle East, Russia and Ukraine and elsewhere;</w:t>
      </w:r>
    </w:p>
    <w:p>
      <w:pPr>
        <w:spacing w:after="0" w:line="37"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82" w:lineRule="exact"/>
        <w:rPr>
          <w:rFonts w:ascii="Times New Roman" w:cs="Times New Roman" w:eastAsia="Times New Roman" w:hAnsi="Times New Roman"/>
          <w:sz w:val="18"/>
          <w:szCs w:val="18"/>
          <w:color w:val="auto"/>
        </w:rPr>
      </w:pPr>
    </w:p>
    <w:p>
      <w:pPr>
        <w:ind w:left="840" w:right="460" w:hanging="322"/>
        <w:spacing w:after="0" w:line="268" w:lineRule="auto"/>
        <w:tabs>
          <w:tab w:leader="none" w:pos="8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polyethylene and polyvinyl chloride due to initiatives such as recycling and customers seeking alternatives to polymers;</w:t>
      </w:r>
    </w:p>
    <w:p>
      <w:pPr>
        <w:spacing w:after="0" w:line="37"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other countries;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82" w:lineRule="exact"/>
        <w:rPr>
          <w:rFonts w:ascii="Times New Roman" w:cs="Times New Roman" w:eastAsia="Times New Roman" w:hAnsi="Times New Roman"/>
          <w:sz w:val="18"/>
          <w:szCs w:val="18"/>
          <w:color w:val="auto"/>
        </w:rPr>
      </w:pPr>
    </w:p>
    <w:p>
      <w:pPr>
        <w:ind w:left="840" w:right="600" w:hanging="322"/>
        <w:spacing w:after="0" w:line="268" w:lineRule="auto"/>
        <w:tabs>
          <w:tab w:leader="none" w:pos="8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37"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trade policies and tariffs;</w:t>
      </w:r>
    </w:p>
    <w:p>
      <w:pPr>
        <w:spacing w:after="0" w:line="82" w:lineRule="exact"/>
        <w:rPr>
          <w:rFonts w:ascii="Times New Roman" w:cs="Times New Roman" w:eastAsia="Times New Roman" w:hAnsi="Times New Roman"/>
          <w:sz w:val="18"/>
          <w:szCs w:val="18"/>
          <w:color w:val="auto"/>
        </w:rPr>
      </w:pPr>
    </w:p>
    <w:p>
      <w:pPr>
        <w:ind w:left="840" w:right="380" w:hanging="322"/>
        <w:spacing w:after="0" w:line="268" w:lineRule="auto"/>
        <w:tabs>
          <w:tab w:leader="none" w:pos="8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global trade, including as a result of tariffs, trade restrictions, retaliatory trade measures or the effect of such actions on trading relationships;</w:t>
      </w:r>
    </w:p>
    <w:p>
      <w:pPr>
        <w:spacing w:after="0" w:line="37"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shutdowns;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6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9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Industry and market data used throughout this Form 10-K were obtained through internal company research, surveys and studies conducted by unrelated third parties and publicly available industry and general publications. We have not independently verified market and industry data from external sources. While we believe internal company estimates are reliable and market definitions are appropriate, neither such estimates nor these definitions have been verified by any independent sources.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Production Capacity</w:t>
      </w:r>
    </w:p>
    <w:p>
      <w:pPr>
        <w:spacing w:after="0" w:line="85"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Unless we state otherwise, annual production capacity estimates used throughout this Form 10-K represent rated capacity of the facilities at December 31, 2025.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8" w:lineRule="exact"/>
        <w:rPr>
          <w:sz w:val="20"/>
          <w:szCs w:val="20"/>
          <w:color w:val="auto"/>
        </w:rPr>
      </w:pPr>
    </w:p>
    <w:p>
      <w:pPr>
        <w:ind w:right="20" w:firstLine="395"/>
        <w:spacing w:after="0" w:line="284" w:lineRule="auto"/>
        <w:rPr>
          <w:sz w:val="20"/>
          <w:szCs w:val="20"/>
          <w:color w:val="auto"/>
        </w:rPr>
      </w:pPr>
      <w:r>
        <w:rPr>
          <w:rFonts w:ascii="Times New Roman" w:cs="Times New Roman" w:eastAsia="Times New Roman" w:hAnsi="Times New Roman"/>
          <w:sz w:val="16"/>
          <w:szCs w:val="16"/>
          <w:color w:val="auto"/>
        </w:rPr>
        <w:t>Westlake Corporation is a vertically integrated global manufacturer and marketer of both housing and infrastructure products and performance and essential materials that are designed to enhance the lives of people every day. Our products include some of the most widely used materials in the world, which are fundamental to many diverse consumer and industrial markets, including residential construction, flexible and rigid packaging, automotive, healthcare, water treatment, wind turbines, coatings as well as other durable and non-durable goods. We operate in two principal operating segments, Housing and Infrastructure Products (HIP) and Performance and Essential Materials (PEM). We are highly integrated along our materials chain with significant downstream integration from ethylene and chlor-alkali (chlorine and caustic soda) into vinyls, polyethylene (PE) and epoxy. We also have substantial downstream integration from polyvinyl chloride ("PVC") into our HIP segment for our residential building products, PVC pipe and fittings and PVC compounds.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and History</w:t>
      </w:r>
    </w:p>
    <w:p>
      <w:pPr>
        <w:spacing w:after="0" w:line="85"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As a global manufacturer of housing and infrastructure products and performance and essential materials, we focus on delivering value to our customers, creating sustainable shareholder value, and developing a rewarding work environment for our employees. We are committed to produce products that are enhancing the lives of people every day. We do this by providing innovative and useful products while maintaining high standards of customer service and operational excellence with a commitment to managing costs. We continually explore external and internal growth opportunities that complement our existing products and our integrated structure, help us reduce costs by optimizing our asset footprint and improve productivity.</w:t>
      </w:r>
    </w:p>
    <w:p>
      <w:pPr>
        <w:spacing w:after="0" w:line="133"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We began operations in 1986 and since then, we have grown rapidly into an integrated global producer of building products and chemicals through effectively executing our growth strategy.</w:t>
      </w:r>
    </w:p>
    <w:p>
      <w:pPr>
        <w:spacing w:after="0" w:line="117"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In 2014, we formed Westlake Chemical Partners LP ("Westlake Partners") to operate, acquire and develop ethylene production facilities and related assets. Also in 2014, Westlake Partners completed an initial public offering of common units (the "Westlake Partners IPO"). As of February 18, 2026, Westlake Partners' assets consisted of a 22.8% limited partner interest in Westlake Chemical OpCo LP ("OpCo"), as well as the general partner interest in OpCo. OpCo's assets include two ethylene production facilities at our olefins facility in Lake Charles, Louisiana, one ethylene production facility at our Calvert City, Kentucky site and a 200-mile common carrier ethylene pipeline that runs from Mont Belvieu, Texas to the Longview, Texas site, which includes our Longview polyethylene production facility. We retain a 77.2% limited partner interest in OpCo, a 40.1% limited partner interest in Westlake Partners (consisting of 14,122,230 common units), a general partner interest in Westlake Partners and incentive distribution rights. The operations of Westlake Partners are consolidated in our financial statements. We are party to certain agreements with Westlake Partners and OpCo whereby, among other items, OpCo sells us 95% of the ethylene it produces on a cost-plus basis that is expected to generate a fixed margin per pound of $0.10. We use this ethylene in the production processes of our Performance and Essential Materials segment.</w:t>
      </w:r>
    </w:p>
    <w:p>
      <w:pPr>
        <w:spacing w:after="0" w:line="142"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Since 2022, we own an aggregate 50% membership interest in LACC, LLC ("LACC"), which owns an ethylene plant that is adjacent to our chlor-alkali facility in Lake Charles and has 2.2 billion pounds per year of ethylene production capacity. We receive our proportionate share of LACC's ethylene production on a cash-cost basis, which benefits our integrated downstream operations.</w:t>
      </w:r>
    </w:p>
    <w:p>
      <w:pPr>
        <w:spacing w:after="0" w:line="127"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We have grown organically and completed multiple acquisitions as we seek to either expand our existing business or add new complementary businesses. In 2016, we completed the acquisition of Axiall Corporation ("Axiall"), a manufacturer and international marketer of chemicals and building products with manufacturing sites in North America, for purchase consideration of approximately $2.5 billion.</w:t>
      </w:r>
    </w:p>
    <w:p>
      <w:pPr>
        <w:spacing w:after="0" w:line="12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2021, we completed the acquisition of Boral Limited's North American building products businesses in roofing; siding; trim; and shutters; decorative stone; and windows for total consideration of approximately $2.1 billion. In 2022, we completed the acquisition of the global epoxy business of Hexion Inc. ("Westlake Epoxy") for total consideration of approximately $1.2 billion. In 2025, we completed the expansion of chlorine, caustic soda and VCM productions capacities at our Geismar, Louisiana site. In January 2026, we acquired the global compounding solutions businesses of the ACI/Perplastic Group (collectively, "ACI"). ACI, a Portugal-based manufacturer of specialty materials serving the wire and cable sectors with manufacturing locations in Portugal, Mexico, Tunisia and Romania.</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85"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We are continually seeking ways to enhance the safety, efficiency, and overall impact of our operations on our employees, the communities where we operate, and the environment. We endeavor to produce and deliver our products in increasingly sustainable ways, to reduce the environmental footprint of our operations and to develop products with improved sustainability features. To achieve these objectives, we continue to focus on recycling opportunities within our businesses, reducing waste at our facilities, incorporating more recycled content into our products, seeking to incorporate renewable and bio-based materials, and producing products that support greater efficiency and durability.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Housing and Infrastructure Products Business</w:t>
      </w:r>
    </w:p>
    <w:p>
      <w:pPr>
        <w:spacing w:after="0" w:line="98"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Our HIP segment is primarily comprised of residential and non-residential building products, PVC pipe and fittings, and compound products made from PVC and other polymers.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Brands and Products</w:t>
      </w:r>
    </w:p>
    <w:p>
      <w:pPr>
        <w:spacing w:after="0" w:line="100" w:lineRule="exact"/>
        <w:rPr>
          <w:sz w:val="20"/>
          <w:szCs w:val="20"/>
          <w:color w:val="auto"/>
        </w:rPr>
      </w:pPr>
    </w:p>
    <w:p>
      <w:pPr>
        <w:ind w:right="440" w:firstLine="395"/>
        <w:spacing w:after="0" w:line="252" w:lineRule="auto"/>
        <w:rPr>
          <w:sz w:val="20"/>
          <w:szCs w:val="20"/>
          <w:color w:val="auto"/>
        </w:rPr>
      </w:pPr>
      <w:r>
        <w:rPr>
          <w:rFonts w:ascii="Times New Roman" w:cs="Times New Roman" w:eastAsia="Times New Roman" w:hAnsi="Times New Roman"/>
          <w:sz w:val="18"/>
          <w:szCs w:val="18"/>
          <w:color w:val="auto"/>
        </w:rPr>
        <w:t>We manufacture and sell housing and infrastructure products including residential PVC siding; PVC trim and mouldings; architectural stone veneer; windows; PVC decking; polymer composite and cement roof tiles; PVC pipe and fittings for various water, sewer, electrical and industrial applications; compounds used in various housing, medical and automobile products; and a variety of consumer and commercial products such as landscape edging; industrial, home and office matting; marine dock edging; and masonry joint controls.</w:t>
      </w:r>
    </w:p>
    <w:p>
      <w:pPr>
        <w:spacing w:after="0" w:line="131"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Our HIP business consists of several product groups including: (i) exterior and interior building products, which includes siding, trim and mouldings, stone, roofing, windows and outdoor living products; (ii) PVC pipe, specialty PVC pipe and fittings; and (iii) compounds primarily made from PVC. Many of our products are made from PVC, including PVC products for water and sewer systems and home and light commercial applications for siding, trim and mouldings, outdoor living products, windows and PVC compounds.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 xml:space="preserve">Siding. </w:t>
      </w:r>
      <w:r>
        <w:rPr>
          <w:rFonts w:ascii="Times New Roman" w:cs="Times New Roman" w:eastAsia="Times New Roman" w:hAnsi="Times New Roman"/>
          <w:sz w:val="18"/>
          <w:szCs w:val="18"/>
          <w:color w:val="auto"/>
        </w:rPr>
        <w:t>Our siding products include insulated siding and vinyl siding and accessory products. Additionally, we offer premium siding products such as</w:t>
      </w:r>
    </w:p>
    <w:p>
      <w:pPr>
        <w:spacing w:after="0" w:line="42" w:lineRule="exact"/>
        <w:rPr>
          <w:sz w:val="20"/>
          <w:szCs w:val="20"/>
          <w:color w:val="auto"/>
        </w:rPr>
      </w:pPr>
    </w:p>
    <w:p>
      <w:pPr>
        <w:jc w:val="both"/>
        <w:ind w:right="220"/>
        <w:spacing w:after="0" w:line="227" w:lineRule="auto"/>
        <w:rPr>
          <w:sz w:val="20"/>
          <w:szCs w:val="20"/>
          <w:color w:val="auto"/>
        </w:rPr>
      </w:pPr>
      <w:r>
        <w:rPr>
          <w:rFonts w:ascii="Times New Roman" w:cs="Times New Roman" w:eastAsia="Times New Roman" w:hAnsi="Times New Roman"/>
          <w:sz w:val="18"/>
          <w:szCs w:val="18"/>
          <w:color w:val="auto"/>
        </w:rPr>
        <w:t>Celect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Cellular Composite Siding, TruExterior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Siding and Cedar Renditions™ Siding. Our siding business is also a leader in non-wood shutters and siding accessories along with an array of specialty tools to aid installation. Our brands include Royal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Siding, Portsmouth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Shake and Shingle, Foundry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Specialty Siding, TruExterior Siding &amp; Trim, Celect Cellular Exteriors, Mid-America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Exteriors, Tapco Tools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many more.</w:t>
      </w:r>
    </w:p>
    <w:p>
      <w:pPr>
        <w:spacing w:after="0" w:line="73" w:lineRule="exact"/>
        <w:rPr>
          <w:sz w:val="20"/>
          <w:szCs w:val="20"/>
          <w:color w:val="auto"/>
        </w:rPr>
      </w:pPr>
    </w:p>
    <w:p>
      <w:pPr>
        <w:ind w:right="40" w:firstLine="39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Trim and Mouldings. </w:t>
      </w:r>
      <w:r>
        <w:rPr>
          <w:rFonts w:ascii="Times New Roman" w:cs="Times New Roman" w:eastAsia="Times New Roman" w:hAnsi="Times New Roman"/>
          <w:sz w:val="18"/>
          <w:szCs w:val="18"/>
          <w:color w:val="auto"/>
        </w:rPr>
        <w:t>We offer a wide variety of trim and moulding products, including exterior and interior products for homes, multi-family and light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structures that are used as substitute for wood and wood composite offerings. Our brands include Royal Trim and Mouldings, TruExterior Siding &amp; Trim, and Kleer Lumber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among others.</w:t>
      </w:r>
    </w:p>
    <w:p>
      <w:pPr>
        <w:spacing w:after="0" w:line="48" w:lineRule="exact"/>
        <w:rPr>
          <w:sz w:val="20"/>
          <w:szCs w:val="20"/>
          <w:color w:val="auto"/>
        </w:rPr>
      </w:pPr>
    </w:p>
    <w:p>
      <w:pPr>
        <w:ind w:right="360" w:firstLine="39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Stone. </w:t>
      </w:r>
      <w:r>
        <w:rPr>
          <w:rFonts w:ascii="Times New Roman" w:cs="Times New Roman" w:eastAsia="Times New Roman" w:hAnsi="Times New Roman"/>
          <w:sz w:val="18"/>
          <w:szCs w:val="18"/>
          <w:color w:val="auto"/>
        </w:rPr>
        <w:t>We are a leader in the masonry stone veneer category, with both mortar applied products and mechanically fastened products that are used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substitute for stone on exterior walls and accents as well as in interior applications such as fireplaces, kitchens and bathrooms. Our stone brands include Cultured Stone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Eldorado Stone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Versetta Stone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StoneCraft Industries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Dutch Quality Stone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jc w:val="both"/>
        <w:ind w:right="260" w:firstLine="395"/>
        <w:spacing w:after="0" w:line="219" w:lineRule="auto"/>
        <w:rPr>
          <w:sz w:val="20"/>
          <w:szCs w:val="20"/>
          <w:color w:val="auto"/>
        </w:rPr>
      </w:pPr>
      <w:r>
        <w:rPr>
          <w:rFonts w:ascii="Times New Roman" w:cs="Times New Roman" w:eastAsia="Times New Roman" w:hAnsi="Times New Roman"/>
          <w:sz w:val="18"/>
          <w:szCs w:val="18"/>
          <w:i w:val="1"/>
          <w:iCs w:val="1"/>
          <w:color w:val="auto"/>
        </w:rPr>
        <w:t xml:space="preserve">Roofing. </w:t>
      </w:r>
      <w:r>
        <w:rPr>
          <w:rFonts w:ascii="Times New Roman" w:cs="Times New Roman" w:eastAsia="Times New Roman" w:hAnsi="Times New Roman"/>
          <w:sz w:val="18"/>
          <w:szCs w:val="18"/>
          <w:color w:val="auto"/>
        </w:rPr>
        <w:t>Our DaVinci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Roofscapes is a premium composite roofing. Additional product offerings include concrete and clay roof tiles and stone-coated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roofing. Our other roofing brands include NewPoint™ Concrete Roof Tile, US Tile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Clay Roofing Products, and Unified Steel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Stone Coated Roofing, among others.</w:t>
      </w:r>
    </w:p>
    <w:p>
      <w:pPr>
        <w:spacing w:after="0" w:line="140" w:lineRule="exact"/>
        <w:rPr>
          <w:sz w:val="20"/>
          <w:szCs w:val="20"/>
          <w:color w:val="auto"/>
        </w:rPr>
      </w:pPr>
    </w:p>
    <w:p>
      <w:pPr>
        <w:ind w:right="960" w:firstLine="395"/>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Windows. </w:t>
      </w:r>
      <w:r>
        <w:rPr>
          <w:rFonts w:ascii="Times New Roman" w:cs="Times New Roman" w:eastAsia="Times New Roman" w:hAnsi="Times New Roman"/>
          <w:sz w:val="18"/>
          <w:szCs w:val="18"/>
          <w:color w:val="auto"/>
        </w:rPr>
        <w:t>We are a regional fabricator of vinyl windows in the South and Southeast markets of the United States. Our brands include Legacy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the Krestmark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Collection, and the Magnolia Collection™.</w: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Outdoor Living Products. </w:t>
      </w:r>
      <w:r>
        <w:rPr>
          <w:rFonts w:ascii="Times New Roman" w:cs="Times New Roman" w:eastAsia="Times New Roman" w:hAnsi="Times New Roman"/>
          <w:sz w:val="18"/>
          <w:szCs w:val="18"/>
          <w:color w:val="auto"/>
        </w:rPr>
        <w:t>Our outdoor living products include Zuri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Decking.</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PVC Pipe. </w:t>
      </w:r>
      <w:r>
        <w:rPr>
          <w:rFonts w:ascii="Times New Roman" w:cs="Times New Roman" w:eastAsia="Times New Roman" w:hAnsi="Times New Roman"/>
          <w:sz w:val="18"/>
          <w:szCs w:val="18"/>
          <w:color w:val="auto"/>
        </w:rPr>
        <w:t>We manufacture and sell PVC pipe ranging in sizes from ½ inch to 36 inches in diameter, in gasketed, solvent welded, and restrained joint</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configurations. Our pipe products are used in residential water and sewer applications; municipal potable water and sewer infrastructure; plumbing and industrial applications, including drain, waste and vent ("DWV"); electrical duct and conduit; turf irrigation, water well and other major water transport market segments. We manufacture and market pipe for water, sewer, irrigation and conduit pipe products under the Westlake Pipe &amp; Fittings brand name.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95"/>
        <w:spacing w:after="0" w:line="227" w:lineRule="auto"/>
        <w:rPr>
          <w:sz w:val="20"/>
          <w:szCs w:val="20"/>
          <w:color w:val="auto"/>
        </w:rPr>
      </w:pPr>
      <w:r>
        <w:rPr>
          <w:rFonts w:ascii="Times New Roman" w:cs="Times New Roman" w:eastAsia="Times New Roman" w:hAnsi="Times New Roman"/>
          <w:sz w:val="18"/>
          <w:szCs w:val="18"/>
          <w:i w:val="1"/>
          <w:iCs w:val="1"/>
          <w:color w:val="auto"/>
        </w:rPr>
        <w:t>Specialty PVC Pipe</w:t>
      </w:r>
      <w:r>
        <w:rPr>
          <w:rFonts w:ascii="Times New Roman" w:cs="Times New Roman" w:eastAsia="Times New Roman" w:hAnsi="Times New Roman"/>
          <w:sz w:val="18"/>
          <w:szCs w:val="18"/>
          <w:color w:val="auto"/>
        </w:rPr>
        <w:t>. Our specialty PVC pipe includes the Certa-Lok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 and Certa-Lok CLIC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systems, which provide restrained joints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 assembly, designed for use in potable water, sewer, fire protection, agriculture, well-casing, electrical conduit and other piping system applications in the residential and various infrastructure markets. Other specialty products include a system for high rise DWV installations that incorporates low-smoke and flame properties. Our molecularly-oriented PVC ("PVCO") pipe, AquaMax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is produced with less PVC than conventional pipe improving our environmental footprint while delivering higher performance. We also manufacture and market specialty pipe under the Certa-Set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Certa-Flo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Certa-Com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Yelomine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Fluid-Tite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Kwik-Set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Sure-Fit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names, among others.</w:t>
      </w:r>
    </w:p>
    <w:p>
      <w:pPr>
        <w:spacing w:after="0" w:line="113" w:lineRule="exact"/>
        <w:rPr>
          <w:sz w:val="20"/>
          <w:szCs w:val="20"/>
          <w:color w:val="auto"/>
        </w:rPr>
      </w:pPr>
    </w:p>
    <w:p>
      <w:pPr>
        <w:ind w:right="14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Fittings. </w:t>
      </w:r>
      <w:r>
        <w:rPr>
          <w:rFonts w:ascii="Times New Roman" w:cs="Times New Roman" w:eastAsia="Times New Roman" w:hAnsi="Times New Roman"/>
          <w:sz w:val="18"/>
          <w:szCs w:val="18"/>
          <w:color w:val="auto"/>
        </w:rPr>
        <w:t>Our fittings products include a range of injection-molded and custom fabricated-fittings including: injection mold DWV fittings for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low-rise and high-rise commercial installations; molded gasketed and solvent weld sewer fittings up to 12 inches, molded gasketed municipal pressure fittings and molded fittings for the pool, spa, industrial markets and electrical assemblies; and fabricated custom fittings up to 36 inches for municipal and plumbing installations. We manufacture and market specialty fittings under the Westlake Pipe &amp; Fittings brand name.</w:t>
      </w:r>
    </w:p>
    <w:p>
      <w:pPr>
        <w:spacing w:after="0" w:line="127"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Compound</w:t>
      </w:r>
      <w:r>
        <w:rPr>
          <w:rFonts w:ascii="Times New Roman" w:cs="Times New Roman" w:eastAsia="Times New Roman" w:hAnsi="Times New Roman"/>
          <w:sz w:val="18"/>
          <w:szCs w:val="18"/>
          <w:color w:val="auto"/>
        </w:rPr>
        <w:t>s. Compounds are custom blended formulations made by combining PVC resin or other polymers with functional additives. They offer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end-use properties based on customer-determined specifications and are used to produce rigid and flexible applications. Our compounds are processed (by our customers) via extrusion, injection molding, blow molding calendering. Our primary markets are building materials (housing), pipe and fittings, industrial materials, automotive, healthcare, telecommunications and consumer goods. Flexible compounds are used for, but not limited to, the following applications: wire and cable, flooring, roofing, wall coverings, window and door trims, gaskets, industrial applications, automotive interior and exterior trims, footwear and medical applications. Rigid extrusion compounds are commonly used for pipe, window and door profiles, fencing, decking, railing, siding and trim. Injection molding and blow molding compounds are commonly used for pipe fittings, electrical components, industrial applications and packaging for consumer goods. We manufacture and market custom compounds under the Westlake Global Compounds brand names.</w:t>
      </w:r>
    </w:p>
    <w:p>
      <w:pPr>
        <w:spacing w:after="0" w:line="138" w:lineRule="exact"/>
        <w:rPr>
          <w:sz w:val="20"/>
          <w:szCs w:val="20"/>
          <w:color w:val="auto"/>
        </w:rPr>
      </w:pPr>
    </w:p>
    <w:p>
      <w:pPr>
        <w:ind w:right="1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Recycled Products. </w:t>
      </w:r>
      <w:r>
        <w:rPr>
          <w:rFonts w:ascii="Times New Roman" w:cs="Times New Roman" w:eastAsia="Times New Roman" w:hAnsi="Times New Roman"/>
          <w:sz w:val="18"/>
          <w:szCs w:val="18"/>
          <w:color w:val="auto"/>
        </w:rPr>
        <w:t>Westlake Dimex is a producer of post-industrial-recycled PVC, PE and thermoplastic elastomer (TPE) compounds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consumer and professional products made from recycled PVC, PE and TPE materials. These products include landscape edging; industrial, home and office matting; marine dock edging; and masonry control joints.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Suppliers</w:t>
      </w:r>
    </w:p>
    <w:p>
      <w:pPr>
        <w:spacing w:after="0" w:line="100"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North American PVC facilities in the PEM segment supply most of the PVC required for our housing exteriors and PVC pipe and fittings plants. Our raw materials for stone, roofing and accessories, windows, shutters, and specialty tool products are purchased externally. PVC required for the compounds plants is either internally sourced from our PEM segment or externally purchased based on the location of the plants. The remaining raw materials required, including pigments, fillers, stabilizers, and other ingredients, are typically purchased under short-term contracts, long-term contracts and in the spot market based on prevailing market prices.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0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operate 53 manufacturing facilities primarily in North America where we produce siding, trim and mouldings, stone, roofing, windows, outdoor living products, PVC pipes, specialty PVC pipe and fittings. We also operate 11 manufacturing facilities in North America, Europe and Asia where we produce compounds. The following table illustrates the properties owned and leased by the HIP business for manufacturing products: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6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Manufacturing Facilities</w:t>
            </w:r>
          </w:p>
        </w:tc>
        <w:tc>
          <w:tcPr>
            <w:tcW w:w="340" w:type="dxa"/>
            <w:vAlign w:val="bottom"/>
          </w:tcPr>
          <w:p>
            <w:pPr>
              <w:spacing w:after="0"/>
              <w:rPr>
                <w:sz w:val="16"/>
                <w:szCs w:val="16"/>
                <w:color w:val="auto"/>
              </w:rPr>
            </w:pPr>
          </w:p>
        </w:tc>
      </w:tr>
      <w:tr>
        <w:trPr>
          <w:trHeight w:val="197"/>
        </w:trPr>
        <w:tc>
          <w:tcPr>
            <w:tcW w:w="826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340" w:type="dxa"/>
            <w:vAlign w:val="bottom"/>
          </w:tcPr>
          <w:p>
            <w:pPr>
              <w:spacing w:after="0"/>
              <w:rPr>
                <w:sz w:val="17"/>
                <w:szCs w:val="17"/>
                <w:color w:val="auto"/>
              </w:rPr>
            </w:pPr>
          </w:p>
        </w:tc>
      </w:tr>
      <w:tr>
        <w:trPr>
          <w:trHeight w:val="24"/>
        </w:trPr>
        <w:tc>
          <w:tcPr>
            <w:tcW w:w="8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Sales and Distribution</w:t>
      </w:r>
    </w:p>
    <w:p>
      <w:pPr>
        <w:spacing w:after="0" w:line="87"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We sell a majority of our siding, trim and mouldings, stone, roofing, windows and outdoor living products, PVC pipe, specialty PVC pipe and fittings through a combination of our internal sales force and some external manufacturer's representatives. In North America, we operate 39 leased and 8 owned distribution centers, storage facilities and warehouses that service and supply these products to local customers, contractors and distributors. We also engage in advertising programs primarily directed at trade professionals and homeowners that are designed to increase awareness of and interest in our products. We also display our products at trade shows. Additionally, our 11 compounds manufacturing facilities across the world sell through a combination of our internal sales force and distributors.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single customer accounted for 10% or more of net sales for the HIP segment in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8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HIP businesses operate in highly competitive markets. Competition in the housing and infrastructure products market is based on product quality and product innovation, technical support and customer service, product consistency, availability of potential substitute materials, on-time delivery and price. We compete in the housing and infrastructure products market with other producers and fabricators including Associated Materials LLC., CertainTeed Corporation, Cornerstone Building Brands, Inc., Diamond Plastics Corporation, IPEX Inc., JM Eagle Inc., Trex Company, Inc. and James Hardie, and with producers of compounds including GEON Performance Solutions and Teknor Apex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0" w:lineRule="exact"/>
        <w:rPr>
          <w:sz w:val="20"/>
          <w:szCs w:val="20"/>
          <w:color w:val="auto"/>
        </w:rPr>
      </w:pPr>
    </w:p>
    <w:p>
      <w:pPr>
        <w:ind w:right="100" w:firstLine="395"/>
        <w:spacing w:after="0" w:line="247" w:lineRule="auto"/>
        <w:rPr>
          <w:sz w:val="20"/>
          <w:szCs w:val="20"/>
          <w:color w:val="auto"/>
        </w:rPr>
      </w:pPr>
      <w:r>
        <w:rPr>
          <w:rFonts w:ascii="Times New Roman" w:cs="Times New Roman" w:eastAsia="Times New Roman" w:hAnsi="Times New Roman"/>
          <w:sz w:val="18"/>
          <w:szCs w:val="18"/>
          <w:color w:val="auto"/>
        </w:rPr>
        <w:t>Though we generally see demand for our products throughout the year, our sales have historically experienced some seasonality, particularly for our housing products. We have typically experienced moderately higher levels of sales of our residential products in the second and third quarters of the calendar year due to inventory restocking and improved weather for construction. Our sales are affected by the individual decisions of distributors and dealers on the levels of inventory they carry, their views on product demand, their financial condition and the manner in which they choose to manage inventory risk. Sales are also generally impacted by the number of days in a quarter or a year that contractors and other professionals are able to install our products. The number of days can vary dramatically based on, among other things, weather events such as rain, snow and extreme temperatures. We generally experienced lower levels of sales of our housing products in the fourth quarter due to adverse weather conditions in certain markets, which typically reduces the construction and renovation activity during the winter season.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and Essential Materials Business</w:t>
      </w:r>
    </w:p>
    <w:p>
      <w:pPr>
        <w:spacing w:after="0" w:line="98" w:lineRule="exact"/>
        <w:rPr>
          <w:sz w:val="20"/>
          <w:szCs w:val="20"/>
          <w:color w:val="auto"/>
        </w:rPr>
      </w:pPr>
    </w:p>
    <w:p>
      <w:pPr>
        <w:ind w:right="280" w:firstLine="395"/>
        <w:spacing w:after="0" w:line="250" w:lineRule="auto"/>
        <w:rPr>
          <w:sz w:val="20"/>
          <w:szCs w:val="20"/>
          <w:color w:val="auto"/>
        </w:rPr>
      </w:pPr>
      <w:r>
        <w:rPr>
          <w:rFonts w:ascii="Times New Roman" w:cs="Times New Roman" w:eastAsia="Times New Roman" w:hAnsi="Times New Roman"/>
          <w:sz w:val="18"/>
          <w:szCs w:val="18"/>
          <w:color w:val="auto"/>
        </w:rPr>
        <w:t>Our PEM products such as ethylene, PVC, polyethylene, epoxy and caustic soda are some of the most widely used materials in the world and are upgraded into a wide variety of higher value-added products used in many end-markets. We are one of the largest producers of chlor-alkali and PVC in the world, which makes us a leading global chlorovinyls producer. Our performance and essential materials are used by customers in PVC pipe applications; housing and construction products; food and specialty packaging; industrial and consumer packaging; renewable wind energy; coatings; consumer durables; medical health applications; and mobility and transportation, among others.</w:t>
      </w:r>
    </w:p>
    <w:p>
      <w:pPr>
        <w:spacing w:after="0" w:line="133"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Chlor-alkali and petrochemicals are typically manufactured globally in large volume by a number of different producers using widely available technologies. We are a leading supplier of liquid and solid epoxy resins that are used in a wide variety of industrial coating applications. We are also one of the leading producers of epoxy specialty resins, modifiers and curing agents in Europe, the United States and Asia with a global reach to our end markets. Epoxy resins are the fundamental component of many types of materials and are often used in the automotive, construction, wind energy, aerospace and electronics industries due to their superior adhesion, strength and durability.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87"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Principal products in our integrated PEM segment include ethylene, PE, chlor-alkali (chlorine and caustic soda), chlorinated derivative products, ethylene dichloride ("EDC"), VCM and PVC. We manage our integrated vinyls production chain to optimize product margins and capacity utilization.</w:t>
      </w:r>
    </w:p>
    <w:p>
      <w:pPr>
        <w:spacing w:after="0" w:line="117"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We manufacture ethylene through three of the OpCo plants and our portion of LACC's production capacity. These facilities are located in Lake Charles and Calvert City. Chlor-alkali materials are produced at our three plants located in Lake Charles, two plants located in Germany and one plant located in each of Calvert City, Geismar and Plaquemine, Louisiana, Natrium, West Virginia, Longview, Washington and Beauharnois, Quebec, Canada. Our VCM is produced at each of our plants at Calvert City, Plaquemine, Geismar and Lake Charles and two plants located in Germany. Our PVC is produced at our four plants located in Germany and one plant in each of Calvert City, Plaquemine and Geismar. Polyethylene and associated products are produced at our two PE plants in Lake Charles and three PE plants and a specialty PE wax plant at our Longview site. Our chlorinated derivative products are primarily produced at our plants in Lake Charles and Natrium. Epoxy Specialty Resins are produced at two plants located in Germany, two plants in the United States, one plant in Spain and one plant in South Korea. Base Epoxy Resins and Intermediaries are produced at our plant in Deer Park, United States. Our other Asian manufacturing facilities are located near Shanghai, in China, and in Kaohsiung, Taiwan, through our 95%- and 60%-owned joint ventures. As of February 18, 2026, we (directly and through OpCo, our investment in LACC, and our 95%- and 60%-owned joint ventures in China and Taiwan, respectively) had approximately 39.2 billion pounds per year of aggregate production capacity at numerous manufacturing sites in North America, Europe and Asia in our PEM segment.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illustrates our PEM segment production capacities at February 18, 2026 by principal product and the end uses of these products: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Product </w:t>
            </w:r>
            <w:r>
              <w:rPr>
                <w:rFonts w:ascii="Times New Roman" w:cs="Times New Roman" w:eastAsia="Times New Roman" w:hAnsi="Times New Roman"/>
                <w:sz w:val="18"/>
                <w:szCs w:val="18"/>
                <w:b w:val="1"/>
                <w:bCs w:val="1"/>
                <w:color w:val="auto"/>
                <w:vertAlign w:val="superscript"/>
              </w:rPr>
              <w:t>(1)(5)</w:t>
            </w:r>
          </w:p>
        </w:tc>
        <w:tc>
          <w:tcPr>
            <w:tcW w:w="20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Annual Capacity </w:t>
            </w:r>
            <w:r>
              <w:rPr>
                <w:rFonts w:ascii="Times New Roman" w:cs="Times New Roman" w:eastAsia="Times New Roman" w:hAnsi="Times New Roman"/>
                <w:sz w:val="18"/>
                <w:szCs w:val="18"/>
                <w:b w:val="1"/>
                <w:bCs w:val="1"/>
                <w:color w:val="auto"/>
                <w:vertAlign w:val="superscript"/>
              </w:rPr>
              <w:t>(2)</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 Uses</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Principal Manufacturing Facilities </w:t>
            </w:r>
            <w:r>
              <w:rPr>
                <w:rFonts w:ascii="Times New Roman" w:cs="Times New Roman" w:eastAsia="Times New Roman" w:hAnsi="Times New Roman"/>
                <w:sz w:val="18"/>
                <w:szCs w:val="18"/>
                <w:b w:val="1"/>
                <w:bCs w:val="1"/>
                <w:color w:val="auto"/>
                <w:vertAlign w:val="superscript"/>
              </w:rPr>
              <w:t>(9)(10)</w:t>
            </w:r>
          </w:p>
        </w:tc>
      </w:tr>
      <w:tr>
        <w:trPr>
          <w:trHeight w:val="184"/>
        </w:trPr>
        <w:tc>
          <w:tcPr>
            <w:tcW w:w="2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(Millions of pounds)</w:t>
            </w:r>
          </w:p>
        </w:tc>
        <w:tc>
          <w:tcPr>
            <w:tcW w:w="100" w:type="dxa"/>
            <w:vAlign w:val="bottom"/>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rPr>
                <w:sz w:val="16"/>
                <w:szCs w:val="16"/>
                <w:color w:val="auto"/>
              </w:rPr>
            </w:pPr>
          </w:p>
        </w:tc>
      </w:tr>
      <w:tr>
        <w:trPr>
          <w:trHeight w:val="177"/>
        </w:trPr>
        <w:tc>
          <w:tcPr>
            <w:tcW w:w="254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 xml:space="preserve">Ethylene </w:t>
            </w:r>
            <w:r>
              <w:rPr>
                <w:rFonts w:ascii="Times New Roman" w:cs="Times New Roman" w:eastAsia="Times New Roman" w:hAnsi="Times New Roman"/>
                <w:sz w:val="9"/>
                <w:szCs w:val="9"/>
                <w:color w:val="auto"/>
              </w:rPr>
              <w:t>(7)</w:t>
            </w:r>
          </w:p>
        </w:tc>
        <w:tc>
          <w:tcPr>
            <w:tcW w:w="19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VCM, polyethylene, EDC, styrene, ethylene</w:t>
            </w:r>
          </w:p>
        </w:tc>
        <w:tc>
          <w:tcPr>
            <w:tcW w:w="34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Calvert City, Kentucky</w:t>
            </w:r>
          </w:p>
        </w:tc>
      </w:tr>
      <w:tr>
        <w:trPr>
          <w:trHeight w:val="237"/>
        </w:trPr>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oxide/ethylene glycol</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Charles, Louisiana</w:t>
            </w:r>
          </w:p>
        </w:tc>
      </w:tr>
      <w:tr>
        <w:trPr>
          <w:trHeight w:val="171"/>
        </w:trPr>
        <w:tc>
          <w:tcPr>
            <w:tcW w:w="25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5"/>
                <w:szCs w:val="15"/>
                <w:color w:val="auto"/>
              </w:rPr>
              <w:t xml:space="preserve">Chlorine </w:t>
            </w:r>
            <w:r>
              <w:rPr>
                <w:rFonts w:ascii="Times New Roman" w:cs="Times New Roman" w:eastAsia="Times New Roman" w:hAnsi="Times New Roman"/>
                <w:sz w:val="19"/>
                <w:szCs w:val="19"/>
                <w:color w:val="auto"/>
                <w:vertAlign w:val="superscript"/>
              </w:rPr>
              <w:t>(4)(6)</w:t>
            </w:r>
          </w:p>
        </w:tc>
        <w:tc>
          <w:tcPr>
            <w:tcW w:w="19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14"/>
                <w:szCs w:val="14"/>
                <w:color w:val="auto"/>
              </w:rPr>
            </w:pPr>
          </w:p>
        </w:tc>
        <w:tc>
          <w:tcPr>
            <w:tcW w:w="33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VCM, EDC, organic/inorganic chemicals,</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Calvert City, Kentucky</w:t>
            </w:r>
          </w:p>
        </w:tc>
      </w:tr>
      <w:tr>
        <w:trPr>
          <w:trHeight w:val="17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8"/>
                <w:szCs w:val="18"/>
                <w:color w:val="auto"/>
              </w:rPr>
              <w:t>bleach and water treatment</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Geismar, Louisiana</w:t>
            </w:r>
          </w:p>
        </w:tc>
      </w:tr>
      <w:tr>
        <w:trPr>
          <w:trHeight w:val="179"/>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Lake Charles, Louisiana</w:t>
            </w:r>
          </w:p>
        </w:tc>
      </w:tr>
      <w:tr>
        <w:trPr>
          <w:trHeight w:val="176"/>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Plaquemine, Louisiana</w:t>
            </w:r>
          </w:p>
        </w:tc>
      </w:tr>
      <w:tr>
        <w:trPr>
          <w:trHeight w:val="17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Natrium, West Virginia</w:t>
            </w:r>
          </w:p>
        </w:tc>
      </w:tr>
      <w:tr>
        <w:trPr>
          <w:trHeight w:val="233"/>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Gendorf and Knapsack, Germany</w:t>
            </w:r>
          </w:p>
        </w:tc>
      </w:tr>
      <w:tr>
        <w:trPr>
          <w:trHeight w:val="175"/>
        </w:trPr>
        <w:tc>
          <w:tcPr>
            <w:tcW w:w="254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 xml:space="preserve">Caustic Soda </w:t>
            </w:r>
            <w:r>
              <w:rPr>
                <w:rFonts w:ascii="Times New Roman" w:cs="Times New Roman" w:eastAsia="Times New Roman" w:hAnsi="Times New Roman"/>
                <w:sz w:val="20"/>
                <w:szCs w:val="20"/>
                <w:color w:val="auto"/>
                <w:vertAlign w:val="superscript"/>
              </w:rPr>
              <w:t>(4)(6)</w:t>
            </w:r>
          </w:p>
        </w:tc>
        <w:tc>
          <w:tcPr>
            <w:tcW w:w="1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7,510</w:t>
            </w:r>
          </w:p>
        </w:tc>
        <w:tc>
          <w:tcPr>
            <w:tcW w:w="10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Pulp and paper, organic/inorganic</w:t>
            </w:r>
          </w:p>
        </w:tc>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Calvert City, Kentucky</w:t>
            </w:r>
          </w:p>
        </w:tc>
      </w:tr>
      <w:tr>
        <w:trPr>
          <w:trHeight w:val="171"/>
        </w:trPr>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chemicals, neutralization and alumina</w:t>
            </w:r>
          </w:p>
        </w:tc>
        <w:tc>
          <w:tcPr>
            <w:tcW w:w="3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Geismar, Louisiana</w:t>
            </w:r>
          </w:p>
        </w:tc>
      </w:tr>
      <w:tr>
        <w:trPr>
          <w:trHeight w:val="179"/>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Lake Charles, Louisiana</w:t>
            </w:r>
          </w:p>
        </w:tc>
      </w:tr>
      <w:tr>
        <w:trPr>
          <w:trHeight w:val="176"/>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Plaquemine, Louisiana</w:t>
            </w:r>
          </w:p>
        </w:tc>
      </w:tr>
      <w:tr>
        <w:trPr>
          <w:trHeight w:val="171"/>
        </w:trPr>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Natrium, West Virginia</w:t>
            </w:r>
          </w:p>
        </w:tc>
      </w:tr>
      <w:tr>
        <w:trPr>
          <w:trHeight w:val="237"/>
        </w:trPr>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Gendorf and Knapsack, Germany</w:t>
            </w:r>
          </w:p>
        </w:tc>
      </w:tr>
      <w:tr>
        <w:trPr>
          <w:trHeight w:val="171"/>
        </w:trPr>
        <w:tc>
          <w:tcPr>
            <w:tcW w:w="25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9"/>
                <w:szCs w:val="19"/>
                <w:color w:val="auto"/>
                <w:vertAlign w:val="subscript"/>
              </w:rPr>
              <w:t>VCM</w:t>
            </w:r>
            <w:r>
              <w:rPr>
                <w:rFonts w:ascii="Times New Roman" w:cs="Times New Roman" w:eastAsia="Times New Roman" w:hAnsi="Times New Roman"/>
                <w:sz w:val="9"/>
                <w:szCs w:val="9"/>
                <w:color w:val="auto"/>
              </w:rPr>
              <w:t xml:space="preserve"> (4)(6)</w:t>
            </w:r>
          </w:p>
        </w:tc>
        <w:tc>
          <w:tcPr>
            <w:tcW w:w="19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4"/>
                <w:szCs w:val="14"/>
                <w:color w:val="auto"/>
              </w:rPr>
            </w:pPr>
          </w:p>
        </w:tc>
        <w:tc>
          <w:tcPr>
            <w:tcW w:w="33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PVC, PVC Compounds</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Calvert City, Kentucky</w:t>
            </w:r>
          </w:p>
        </w:tc>
      </w:tr>
      <w:tr>
        <w:trPr>
          <w:trHeight w:val="17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Geismar, Louisiana</w:t>
            </w:r>
          </w:p>
        </w:tc>
      </w:tr>
      <w:tr>
        <w:trPr>
          <w:trHeight w:val="179"/>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Lake Charles, Louisiana</w:t>
            </w:r>
          </w:p>
        </w:tc>
      </w:tr>
      <w:tr>
        <w:trPr>
          <w:trHeight w:val="176"/>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Plaquemine, Louisiana</w:t>
            </w:r>
          </w:p>
        </w:tc>
      </w:tr>
      <w:tr>
        <w:trPr>
          <w:trHeight w:val="233"/>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Gendorf and Knapsack, Germany</w:t>
            </w:r>
          </w:p>
        </w:tc>
      </w:tr>
      <w:tr>
        <w:trPr>
          <w:trHeight w:val="175"/>
        </w:trPr>
        <w:tc>
          <w:tcPr>
            <w:tcW w:w="2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Specialty PVC</w:t>
            </w:r>
          </w:p>
        </w:tc>
        <w:tc>
          <w:tcPr>
            <w:tcW w:w="1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Automotive sealants, cable sheathing,</w:t>
            </w:r>
          </w:p>
        </w:tc>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Burghausen, Cologne, and Gendorf, Germany</w:t>
            </w:r>
          </w:p>
        </w:tc>
      </w:tr>
      <w:tr>
        <w:trPr>
          <w:trHeight w:val="171"/>
        </w:trPr>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medical applications and other</w:t>
            </w:r>
          </w:p>
        </w:tc>
        <w:tc>
          <w:tcPr>
            <w:tcW w:w="3400" w:type="dxa"/>
            <w:vAlign w:val="bottom"/>
            <w:shd w:val="clear" w:color="auto" w:fill="CCEEFF"/>
          </w:tcPr>
          <w:p>
            <w:pPr>
              <w:spacing w:after="0"/>
              <w:rPr>
                <w:sz w:val="14"/>
                <w:szCs w:val="14"/>
                <w:color w:val="auto"/>
              </w:rPr>
            </w:pPr>
          </w:p>
        </w:tc>
      </w:tr>
      <w:tr>
        <w:trPr>
          <w:trHeight w:val="237"/>
        </w:trPr>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applications</w:t>
            </w:r>
          </w:p>
        </w:tc>
        <w:tc>
          <w:tcPr>
            <w:tcW w:w="3400" w:type="dxa"/>
            <w:vAlign w:val="bottom"/>
            <w:shd w:val="clear" w:color="auto" w:fill="CCEEFF"/>
          </w:tcPr>
          <w:p>
            <w:pPr>
              <w:spacing w:after="0"/>
              <w:rPr>
                <w:sz w:val="20"/>
                <w:szCs w:val="20"/>
                <w:color w:val="auto"/>
              </w:rPr>
            </w:pPr>
          </w:p>
        </w:tc>
      </w:tr>
      <w:tr>
        <w:trPr>
          <w:trHeight w:val="171"/>
        </w:trPr>
        <w:tc>
          <w:tcPr>
            <w:tcW w:w="25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5"/>
                <w:szCs w:val="15"/>
                <w:color w:val="auto"/>
              </w:rPr>
              <w:t xml:space="preserve">Commodity PVC </w:t>
            </w:r>
            <w:r>
              <w:rPr>
                <w:rFonts w:ascii="Times New Roman" w:cs="Times New Roman" w:eastAsia="Times New Roman" w:hAnsi="Times New Roman"/>
                <w:sz w:val="19"/>
                <w:szCs w:val="19"/>
                <w:color w:val="auto"/>
                <w:vertAlign w:val="superscript"/>
              </w:rPr>
              <w:t>(4)(8)</w:t>
            </w:r>
          </w:p>
        </w:tc>
        <w:tc>
          <w:tcPr>
            <w:tcW w:w="19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14"/>
                <w:szCs w:val="14"/>
                <w:color w:val="auto"/>
              </w:rPr>
            </w:pPr>
          </w:p>
        </w:tc>
        <w:tc>
          <w:tcPr>
            <w:tcW w:w="33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Construction materials including pipe,</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Calvert City, Kentucky</w:t>
            </w:r>
          </w:p>
        </w:tc>
      </w:tr>
      <w:tr>
        <w:trPr>
          <w:trHeight w:val="17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8"/>
                <w:szCs w:val="18"/>
                <w:color w:val="auto"/>
              </w:rPr>
              <w:t>siding, profiles for windows and doors,</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Geismar, Louisiana</w:t>
            </w:r>
          </w:p>
        </w:tc>
      </w:tr>
      <w:tr>
        <w:trPr>
          <w:trHeight w:val="179"/>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2"/>
          </w:tcPr>
          <w:p>
            <w:pPr>
              <w:ind w:left="180"/>
              <w:spacing w:after="0" w:line="179" w:lineRule="exact"/>
              <w:rPr>
                <w:sz w:val="20"/>
                <w:szCs w:val="20"/>
                <w:color w:val="auto"/>
              </w:rPr>
            </w:pPr>
            <w:r>
              <w:rPr>
                <w:rFonts w:ascii="Times New Roman" w:cs="Times New Roman" w:eastAsia="Times New Roman" w:hAnsi="Times New Roman"/>
                <w:sz w:val="18"/>
                <w:szCs w:val="18"/>
                <w:color w:val="auto"/>
              </w:rPr>
              <w:t>film and sheet for packaging and other</w:t>
            </w:r>
          </w:p>
        </w:tc>
        <w:tc>
          <w:tcPr>
            <w:tcW w:w="34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Plaquemine, Louisiana</w:t>
            </w:r>
          </w:p>
        </w:tc>
      </w:tr>
      <w:tr>
        <w:trPr>
          <w:trHeight w:val="22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applications</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Cologne and Knapsack, Germany</w:t>
            </w:r>
          </w:p>
        </w:tc>
      </w:tr>
      <w:tr>
        <w:trPr>
          <w:trHeight w:val="171"/>
        </w:trPr>
        <w:tc>
          <w:tcPr>
            <w:tcW w:w="25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Low-Density Polyethylene</w:t>
            </w:r>
          </w:p>
        </w:tc>
        <w:tc>
          <w:tcPr>
            <w:tcW w:w="19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High clarity packaging and bags, shrink</w:t>
            </w:r>
          </w:p>
        </w:tc>
        <w:tc>
          <w:tcPr>
            <w:tcW w:w="3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Lake Charles, Louisiana</w:t>
            </w:r>
          </w:p>
        </w:tc>
      </w:tr>
      <w:tr>
        <w:trPr>
          <w:trHeight w:val="171"/>
        </w:trPr>
        <w:tc>
          <w:tcPr>
            <w:tcW w:w="25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("LDPE")</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films, food packaging, coated paper</w:t>
            </w:r>
          </w:p>
        </w:tc>
        <w:tc>
          <w:tcPr>
            <w:tcW w:w="3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Longview, Texas</w:t>
            </w:r>
          </w:p>
        </w:tc>
      </w:tr>
      <w:tr>
        <w:trPr>
          <w:trHeight w:val="179"/>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180"/>
              <w:spacing w:after="0" w:line="179" w:lineRule="exact"/>
              <w:rPr>
                <w:sz w:val="20"/>
                <w:szCs w:val="20"/>
                <w:color w:val="auto"/>
              </w:rPr>
            </w:pPr>
            <w:r>
              <w:rPr>
                <w:rFonts w:ascii="Times New Roman" w:cs="Times New Roman" w:eastAsia="Times New Roman" w:hAnsi="Times New Roman"/>
                <w:sz w:val="18"/>
                <w:szCs w:val="18"/>
                <w:color w:val="auto"/>
              </w:rPr>
              <w:t>board, cup stock, paper folding cartons,</w:t>
            </w:r>
          </w:p>
        </w:tc>
        <w:tc>
          <w:tcPr>
            <w:tcW w:w="3400" w:type="dxa"/>
            <w:vAlign w:val="bottom"/>
            <w:shd w:val="clear" w:color="auto" w:fill="CCEEFF"/>
          </w:tcPr>
          <w:p>
            <w:pPr>
              <w:spacing w:after="0"/>
              <w:rPr>
                <w:sz w:val="15"/>
                <w:szCs w:val="15"/>
                <w:color w:val="auto"/>
              </w:rPr>
            </w:pPr>
          </w:p>
        </w:tc>
      </w:tr>
      <w:tr>
        <w:trPr>
          <w:trHeight w:val="176"/>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lids, closures and general purpose</w:t>
            </w:r>
          </w:p>
        </w:tc>
        <w:tc>
          <w:tcPr>
            <w:tcW w:w="3400" w:type="dxa"/>
            <w:vAlign w:val="bottom"/>
            <w:shd w:val="clear" w:color="auto" w:fill="CCEEFF"/>
          </w:tcPr>
          <w:p>
            <w:pPr>
              <w:spacing w:after="0"/>
              <w:rPr>
                <w:sz w:val="15"/>
                <w:szCs w:val="15"/>
                <w:color w:val="auto"/>
              </w:rPr>
            </w:pPr>
          </w:p>
        </w:tc>
      </w:tr>
      <w:tr>
        <w:trPr>
          <w:trHeight w:val="237"/>
        </w:trPr>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molding</w:t>
            </w:r>
          </w:p>
        </w:tc>
        <w:tc>
          <w:tcPr>
            <w:tcW w:w="3400" w:type="dxa"/>
            <w:vAlign w:val="bottom"/>
            <w:shd w:val="clear" w:color="auto" w:fill="CCEEFF"/>
          </w:tcPr>
          <w:p>
            <w:pPr>
              <w:spacing w:after="0"/>
              <w:rPr>
                <w:sz w:val="20"/>
                <w:szCs w:val="20"/>
                <w:color w:val="auto"/>
              </w:rPr>
            </w:pPr>
          </w:p>
        </w:tc>
      </w:tr>
      <w:tr>
        <w:trPr>
          <w:trHeight w:val="171"/>
        </w:trPr>
        <w:tc>
          <w:tcPr>
            <w:tcW w:w="25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Linear Low-Density Polyethylene</w:t>
            </w:r>
          </w:p>
        </w:tc>
        <w:tc>
          <w:tcPr>
            <w:tcW w:w="19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4"/>
                <w:szCs w:val="14"/>
                <w:color w:val="auto"/>
              </w:rPr>
            </w:pPr>
          </w:p>
        </w:tc>
        <w:tc>
          <w:tcPr>
            <w:tcW w:w="33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Heavy-duty films and bags, general purpose</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Lake Charles, Louisiana</w:t>
            </w:r>
          </w:p>
        </w:tc>
      </w:tr>
      <w:tr>
        <w:trPr>
          <w:trHeight w:val="228"/>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("LLDPE")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liners</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Longview, Texas</w:t>
            </w:r>
          </w:p>
        </w:tc>
      </w:tr>
      <w:tr>
        <w:trPr>
          <w:trHeight w:val="180"/>
        </w:trPr>
        <w:tc>
          <w:tcPr>
            <w:tcW w:w="25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Chlorinated Derivative Materials</w:t>
            </w:r>
          </w:p>
        </w:tc>
        <w:tc>
          <w:tcPr>
            <w:tcW w:w="190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5"/>
                <w:szCs w:val="15"/>
                <w:color w:val="auto"/>
              </w:rPr>
            </w:pPr>
          </w:p>
        </w:tc>
        <w:tc>
          <w:tcPr>
            <w:tcW w:w="33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Coatings, flavorants, films, refrigerants,</w:t>
            </w:r>
          </w:p>
        </w:tc>
        <w:tc>
          <w:tcPr>
            <w:tcW w:w="34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Lake Charles, Louisiana</w:t>
            </w:r>
          </w:p>
        </w:tc>
      </w:tr>
      <w:tr>
        <w:trPr>
          <w:trHeight w:val="17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8"/>
                <w:szCs w:val="18"/>
                <w:color w:val="auto"/>
              </w:rPr>
              <w:t>water treatment applications, chemicals</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Natrium, West Virginia</w:t>
            </w:r>
          </w:p>
        </w:tc>
      </w:tr>
      <w:tr>
        <w:trPr>
          <w:trHeight w:val="199"/>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2"/>
          </w:tcPr>
          <w:p>
            <w:pPr>
              <w:ind w:left="180"/>
              <w:spacing w:after="0" w:line="199" w:lineRule="exact"/>
              <w:rPr>
                <w:sz w:val="20"/>
                <w:szCs w:val="20"/>
                <w:color w:val="auto"/>
              </w:rPr>
            </w:pPr>
            <w:r>
              <w:rPr>
                <w:rFonts w:ascii="Times New Roman" w:cs="Times New Roman" w:eastAsia="Times New Roman" w:hAnsi="Times New Roman"/>
                <w:sz w:val="18"/>
                <w:szCs w:val="18"/>
                <w:color w:val="auto"/>
              </w:rPr>
              <w:t>and pharmaceutical production</w:t>
            </w:r>
          </w:p>
        </w:tc>
        <w:tc>
          <w:tcPr>
            <w:tcW w:w="340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Longview, Washington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35495" cy="476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476250"/>
                    </a:xfrm>
                    <a:prstGeom prst="rect">
                      <a:avLst/>
                    </a:prstGeom>
                    <a:noFill/>
                  </pic:spPr>
                </pic:pic>
              </a:graphicData>
            </a:graphic>
          </wp:anchor>
        </w:drawing>
      </w:r>
    </w:p>
    <w:p>
      <w:pPr>
        <w:ind w:left="7860"/>
        <w:spacing w:after="0"/>
        <w:rPr>
          <w:sz w:val="20"/>
          <w:szCs w:val="20"/>
          <w:color w:val="auto"/>
        </w:rPr>
      </w:pPr>
      <w:r>
        <w:rPr>
          <w:rFonts w:ascii="Times New Roman" w:cs="Times New Roman" w:eastAsia="Times New Roman" w:hAnsi="Times New Roman"/>
          <w:sz w:val="18"/>
          <w:szCs w:val="18"/>
          <w:color w:val="auto"/>
        </w:rPr>
        <w:t>Beauharnois, Canada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914"/>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Product </w:t>
            </w:r>
            <w:r>
              <w:rPr>
                <w:rFonts w:ascii="Times New Roman" w:cs="Times New Roman" w:eastAsia="Times New Roman" w:hAnsi="Times New Roman"/>
                <w:sz w:val="18"/>
                <w:szCs w:val="18"/>
                <w:b w:val="1"/>
                <w:bCs w:val="1"/>
                <w:color w:val="auto"/>
                <w:vertAlign w:val="superscript"/>
              </w:rPr>
              <w:t>(1)(5)</w:t>
            </w:r>
          </w:p>
        </w:tc>
        <w:tc>
          <w:tcPr>
            <w:tcW w:w="1540" w:type="dxa"/>
            <w:vAlign w:val="bottom"/>
            <w:gridSpan w:val="2"/>
          </w:tcPr>
          <w:p>
            <w:pPr>
              <w:spacing w:after="0"/>
              <w:rPr>
                <w:sz w:val="24"/>
                <w:szCs w:val="24"/>
                <w:color w:val="auto"/>
              </w:rPr>
            </w:pPr>
          </w:p>
        </w:tc>
        <w:tc>
          <w:tcPr>
            <w:tcW w:w="1540" w:type="dxa"/>
            <w:vAlign w:val="bottom"/>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w w:val="97"/>
              </w:rPr>
              <w:t xml:space="preserve">Annual Capacity </w:t>
            </w:r>
            <w:r>
              <w:rPr>
                <w:rFonts w:ascii="Times New Roman" w:cs="Times New Roman" w:eastAsia="Times New Roman" w:hAnsi="Times New Roman"/>
                <w:sz w:val="18"/>
                <w:szCs w:val="18"/>
                <w:b w:val="1"/>
                <w:bCs w:val="1"/>
                <w:color w:val="auto"/>
                <w:w w:val="97"/>
                <w:vertAlign w:val="superscript"/>
              </w:rPr>
              <w:t>(2)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 Uses</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Principal Manufacturing Facilities </w:t>
            </w:r>
            <w:r>
              <w:rPr>
                <w:rFonts w:ascii="Times New Roman" w:cs="Times New Roman" w:eastAsia="Times New Roman" w:hAnsi="Times New Roman"/>
                <w:sz w:val="18"/>
                <w:szCs w:val="18"/>
                <w:b w:val="1"/>
                <w:bCs w:val="1"/>
                <w:color w:val="auto"/>
                <w:vertAlign w:val="superscript"/>
              </w:rPr>
              <w:t>(9)(10)</w:t>
            </w:r>
          </w:p>
        </w:tc>
      </w:tr>
      <w:tr>
        <w:trPr>
          <w:trHeight w:val="178"/>
        </w:trPr>
        <w:tc>
          <w:tcPr>
            <w:tcW w:w="10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w w:val="99"/>
              </w:rPr>
              <w:t>(Millions of pounds)</w:t>
            </w: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Borders>
              <w:top w:val="single" w:sz="8" w:color="auto"/>
            </w:tcBorders>
          </w:tcPr>
          <w:p>
            <w:pPr>
              <w:spacing w:after="0"/>
              <w:rPr>
                <w:sz w:val="15"/>
                <w:szCs w:val="15"/>
                <w:color w:val="auto"/>
              </w:rPr>
            </w:pPr>
          </w:p>
        </w:tc>
      </w:tr>
      <w:tr>
        <w:trPr>
          <w:trHeight w:val="183"/>
        </w:trPr>
        <w:tc>
          <w:tcPr>
            <w:tcW w:w="254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8"/>
                <w:szCs w:val="18"/>
                <w:color w:val="auto"/>
              </w:rPr>
              <w:t>Epoxy Specialty Resins</w:t>
            </w:r>
          </w:p>
        </w:tc>
        <w:tc>
          <w:tcPr>
            <w:tcW w:w="1540" w:type="dxa"/>
            <w:vAlign w:val="bottom"/>
          </w:tcPr>
          <w:p>
            <w:pPr>
              <w:spacing w:after="0"/>
              <w:rPr>
                <w:sz w:val="15"/>
                <w:szCs w:val="15"/>
                <w:color w:val="auto"/>
              </w:rPr>
            </w:pPr>
          </w:p>
        </w:tc>
        <w:tc>
          <w:tcPr>
            <w:tcW w:w="376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8"/>
                <w:szCs w:val="18"/>
                <w:color w:val="auto"/>
              </w:rPr>
              <w:t>580  Protective coatings and adhesive</w:t>
            </w:r>
          </w:p>
        </w:tc>
        <w:tc>
          <w:tcPr>
            <w:tcW w:w="34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Lakeland, Florida</w:t>
            </w:r>
          </w:p>
        </w:tc>
      </w:tr>
      <w:tr>
        <w:trPr>
          <w:trHeight w:val="171"/>
        </w:trPr>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8"/>
                <w:szCs w:val="18"/>
                <w:color w:val="auto"/>
              </w:rPr>
              <w:t>applications; building and bridge</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Argo, Illinois</w:t>
            </w:r>
          </w:p>
        </w:tc>
      </w:tr>
      <w:tr>
        <w:trPr>
          <w:trHeight w:val="179"/>
        </w:trPr>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2"/>
          </w:tcPr>
          <w:p>
            <w:pPr>
              <w:ind w:left="160"/>
              <w:spacing w:after="0" w:line="179" w:lineRule="exact"/>
              <w:rPr>
                <w:sz w:val="20"/>
                <w:szCs w:val="20"/>
                <w:color w:val="auto"/>
              </w:rPr>
            </w:pPr>
            <w:r>
              <w:rPr>
                <w:rFonts w:ascii="Times New Roman" w:cs="Times New Roman" w:eastAsia="Times New Roman" w:hAnsi="Times New Roman"/>
                <w:sz w:val="18"/>
                <w:szCs w:val="18"/>
                <w:color w:val="auto"/>
              </w:rPr>
              <w:t>construction, flooring, transportation, oil</w:t>
            </w:r>
          </w:p>
        </w:tc>
        <w:tc>
          <w:tcPr>
            <w:tcW w:w="34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Duisburg and Esslingen, Germany</w:t>
            </w:r>
          </w:p>
        </w:tc>
      </w:tr>
      <w:tr>
        <w:trPr>
          <w:trHeight w:val="176"/>
        </w:trPr>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&amp; gas electrical applications; generators</w:t>
            </w:r>
          </w:p>
        </w:tc>
        <w:tc>
          <w:tcPr>
            <w:tcW w:w="3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Onsan, South Korea</w:t>
            </w:r>
          </w:p>
        </w:tc>
      </w:tr>
      <w:tr>
        <w:trPr>
          <w:trHeight w:val="171"/>
        </w:trPr>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8"/>
                <w:szCs w:val="18"/>
                <w:color w:val="auto"/>
              </w:rPr>
              <w:t>and bushings, transformers, medium and</w:t>
            </w:r>
          </w:p>
        </w:tc>
        <w:tc>
          <w:tcPr>
            <w:tcW w:w="34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Barbastro, Spain</w:t>
            </w:r>
          </w:p>
        </w:tc>
      </w:tr>
      <w:tr>
        <w:trPr>
          <w:trHeight w:val="179"/>
        </w:trPr>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2"/>
          </w:tcPr>
          <w:p>
            <w:pPr>
              <w:ind w:left="160"/>
              <w:spacing w:after="0" w:line="179" w:lineRule="exact"/>
              <w:rPr>
                <w:sz w:val="20"/>
                <w:szCs w:val="20"/>
                <w:color w:val="auto"/>
              </w:rPr>
            </w:pPr>
            <w:r>
              <w:rPr>
                <w:rFonts w:ascii="Times New Roman" w:cs="Times New Roman" w:eastAsia="Times New Roman" w:hAnsi="Times New Roman"/>
                <w:sz w:val="18"/>
                <w:szCs w:val="18"/>
                <w:color w:val="auto"/>
              </w:rPr>
              <w:t>high-voltage switch gear components</w:t>
            </w:r>
          </w:p>
        </w:tc>
        <w:tc>
          <w:tcPr>
            <w:tcW w:w="340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composites epoxy resins; wind energy,</w:t>
            </w:r>
          </w:p>
        </w:tc>
        <w:tc>
          <w:tcPr>
            <w:tcW w:w="34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8"/>
                <w:szCs w:val="18"/>
                <w:color w:val="auto"/>
              </w:rPr>
              <w:t>automotive, aerospace, construction,</w:t>
            </w:r>
          </w:p>
        </w:tc>
        <w:tc>
          <w:tcPr>
            <w:tcW w:w="3400" w:type="dxa"/>
            <w:vAlign w:val="bottom"/>
          </w:tcPr>
          <w:p>
            <w:pPr>
              <w:spacing w:after="0"/>
              <w:rPr>
                <w:sz w:val="14"/>
                <w:szCs w:val="14"/>
                <w:color w:val="auto"/>
              </w:rPr>
            </w:pPr>
          </w:p>
        </w:tc>
      </w:tr>
      <w:tr>
        <w:trPr>
          <w:trHeight w:val="233"/>
        </w:trPr>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industrial applications</w:t>
            </w:r>
          </w:p>
        </w:tc>
        <w:tc>
          <w:tcPr>
            <w:tcW w:w="3400" w:type="dxa"/>
            <w:vAlign w:val="bottom"/>
          </w:tcPr>
          <w:p>
            <w:pPr>
              <w:spacing w:after="0"/>
              <w:rPr>
                <w:sz w:val="20"/>
                <w:szCs w:val="20"/>
                <w:color w:val="auto"/>
              </w:rPr>
            </w:pPr>
          </w:p>
        </w:tc>
      </w:tr>
      <w:tr>
        <w:trPr>
          <w:trHeight w:val="175"/>
        </w:trPr>
        <w:tc>
          <w:tcPr>
            <w:tcW w:w="25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Base Epoxy Resins and</w:t>
            </w:r>
          </w:p>
        </w:tc>
        <w:tc>
          <w:tcPr>
            <w:tcW w:w="1540" w:type="dxa"/>
            <w:vAlign w:val="bottom"/>
            <w:shd w:val="clear" w:color="auto" w:fill="CCEEFF"/>
          </w:tcPr>
          <w:p>
            <w:pPr>
              <w:spacing w:after="0"/>
              <w:rPr>
                <w:sz w:val="15"/>
                <w:szCs w:val="15"/>
                <w:color w:val="auto"/>
              </w:rPr>
            </w:pPr>
          </w:p>
        </w:tc>
        <w:tc>
          <w:tcPr>
            <w:tcW w:w="37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610  Electrocoat; automotive, general industry</w:t>
            </w:r>
          </w:p>
        </w:tc>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Deer Park, Texas</w:t>
            </w:r>
          </w:p>
        </w:tc>
      </w:tr>
      <w:tr>
        <w:trPr>
          <w:trHeight w:val="171"/>
        </w:trPr>
        <w:tc>
          <w:tcPr>
            <w:tcW w:w="2540" w:type="dxa"/>
            <w:vAlign w:val="bottom"/>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5"/>
                <w:szCs w:val="15"/>
                <w:color w:val="auto"/>
              </w:rPr>
              <w:t xml:space="preserve">Intermediaries </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5"/>
                <w:szCs w:val="15"/>
                <w:color w:val="auto"/>
              </w:rPr>
              <w:t xml:space="preserve"> (BERI)</w:t>
            </w:r>
          </w:p>
        </w:tc>
        <w:tc>
          <w:tcPr>
            <w:tcW w:w="1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60"/>
              <w:spacing w:after="0" w:line="171" w:lineRule="exact"/>
              <w:rPr>
                <w:sz w:val="20"/>
                <w:szCs w:val="20"/>
                <w:color w:val="auto"/>
              </w:rPr>
            </w:pPr>
            <w:r>
              <w:rPr>
                <w:rFonts w:ascii="Times New Roman" w:cs="Times New Roman" w:eastAsia="Times New Roman" w:hAnsi="Times New Roman"/>
                <w:sz w:val="18"/>
                <w:szCs w:val="18"/>
                <w:color w:val="auto"/>
              </w:rPr>
              <w:t>powder coatings; white goods, pipes for</w:t>
            </w:r>
          </w:p>
        </w:tc>
        <w:tc>
          <w:tcPr>
            <w:tcW w:w="3400" w:type="dxa"/>
            <w:vAlign w:val="bottom"/>
            <w:shd w:val="clear" w:color="auto" w:fill="CCEEFF"/>
          </w:tcPr>
          <w:p>
            <w:pPr>
              <w:spacing w:after="0"/>
              <w:rPr>
                <w:sz w:val="14"/>
                <w:szCs w:val="14"/>
                <w:color w:val="auto"/>
              </w:rPr>
            </w:pPr>
          </w:p>
        </w:tc>
      </w:tr>
      <w:tr>
        <w:trPr>
          <w:trHeight w:val="179"/>
        </w:trPr>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160"/>
              <w:spacing w:after="0" w:line="179" w:lineRule="exact"/>
              <w:rPr>
                <w:sz w:val="20"/>
                <w:szCs w:val="20"/>
                <w:color w:val="auto"/>
              </w:rPr>
            </w:pPr>
            <w:r>
              <w:rPr>
                <w:rFonts w:ascii="Times New Roman" w:cs="Times New Roman" w:eastAsia="Times New Roman" w:hAnsi="Times New Roman"/>
                <w:sz w:val="18"/>
                <w:szCs w:val="18"/>
                <w:color w:val="auto"/>
              </w:rPr>
              <w:t>oil and gas transmission, general industry</w:t>
            </w:r>
          </w:p>
        </w:tc>
        <w:tc>
          <w:tcPr>
            <w:tcW w:w="3400" w:type="dxa"/>
            <w:vAlign w:val="bottom"/>
            <w:shd w:val="clear" w:color="auto" w:fill="CCEEFF"/>
          </w:tcPr>
          <w:p>
            <w:pPr>
              <w:spacing w:after="0"/>
              <w:rPr>
                <w:sz w:val="15"/>
                <w:szCs w:val="15"/>
                <w:color w:val="auto"/>
              </w:rPr>
            </w:pPr>
          </w:p>
        </w:tc>
      </w:tr>
      <w:tr>
        <w:trPr>
          <w:trHeight w:val="176"/>
        </w:trPr>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heat cured coatings; metal packaging and</w:t>
            </w:r>
          </w:p>
        </w:tc>
        <w:tc>
          <w:tcPr>
            <w:tcW w:w="3400" w:type="dxa"/>
            <w:vAlign w:val="bottom"/>
            <w:shd w:val="clear" w:color="auto" w:fill="CCEEFF"/>
          </w:tcPr>
          <w:p>
            <w:pPr>
              <w:spacing w:after="0"/>
              <w:rPr>
                <w:sz w:val="15"/>
                <w:szCs w:val="15"/>
                <w:color w:val="auto"/>
              </w:rPr>
            </w:pPr>
          </w:p>
        </w:tc>
      </w:tr>
      <w:tr>
        <w:trPr>
          <w:trHeight w:val="171"/>
        </w:trPr>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60"/>
              <w:spacing w:after="0" w:line="171" w:lineRule="exact"/>
              <w:rPr>
                <w:sz w:val="20"/>
                <w:szCs w:val="20"/>
                <w:color w:val="auto"/>
              </w:rPr>
            </w:pPr>
            <w:r>
              <w:rPr>
                <w:rFonts w:ascii="Times New Roman" w:cs="Times New Roman" w:eastAsia="Times New Roman" w:hAnsi="Times New Roman"/>
                <w:sz w:val="18"/>
                <w:szCs w:val="18"/>
                <w:color w:val="auto"/>
              </w:rPr>
              <w:t>coil coated steel for construction and</w:t>
            </w:r>
          </w:p>
        </w:tc>
        <w:tc>
          <w:tcPr>
            <w:tcW w:w="3400" w:type="dxa"/>
            <w:vAlign w:val="bottom"/>
            <w:shd w:val="clear" w:color="auto" w:fill="CCEEFF"/>
          </w:tcPr>
          <w:p>
            <w:pPr>
              <w:spacing w:after="0"/>
              <w:rPr>
                <w:sz w:val="14"/>
                <w:szCs w:val="14"/>
                <w:color w:val="auto"/>
              </w:rPr>
            </w:pPr>
          </w:p>
        </w:tc>
      </w:tr>
      <w:tr>
        <w:trPr>
          <w:trHeight w:val="237"/>
        </w:trPr>
        <w:tc>
          <w:tcPr>
            <w:tcW w:w="10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industry</w:t>
            </w:r>
          </w:p>
        </w:tc>
        <w:tc>
          <w:tcPr>
            <w:tcW w:w="3400" w:type="dxa"/>
            <w:vAlign w:val="bottom"/>
            <w:shd w:val="clear" w:color="auto" w:fill="CCEEFF"/>
          </w:tcPr>
          <w:p>
            <w:pPr>
              <w:spacing w:after="0"/>
              <w:rPr>
                <w:sz w:val="20"/>
                <w:szCs w:val="20"/>
                <w:color w:val="auto"/>
              </w:rPr>
            </w:pPr>
          </w:p>
        </w:tc>
      </w:tr>
      <w:tr>
        <w:trPr>
          <w:trHeight w:val="295"/>
        </w:trPr>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______________________________</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42" w:lineRule="exact"/>
        <w:rPr>
          <w:sz w:val="20"/>
          <w:szCs w:val="20"/>
          <w:color w:val="auto"/>
        </w:rPr>
      </w:pPr>
    </w:p>
    <w:p>
      <w:pPr>
        <w:ind w:left="420" w:hanging="375"/>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EDC, a VCM intermediate product, is not included in the table.</w:t>
      </w:r>
    </w:p>
    <w:p>
      <w:pPr>
        <w:spacing w:after="0" w:line="56" w:lineRule="exact"/>
        <w:rPr>
          <w:rFonts w:ascii="Times New Roman" w:cs="Times New Roman" w:eastAsia="Times New Roman" w:hAnsi="Times New Roman"/>
          <w:sz w:val="18"/>
          <w:szCs w:val="18"/>
          <w:color w:val="auto"/>
        </w:rPr>
      </w:pPr>
    </w:p>
    <w:p>
      <w:pPr>
        <w:ind w:left="420" w:hanging="375"/>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capacity related to our 95%- and 60%-owned Asian joint ventures.</w:t>
      </w:r>
    </w:p>
    <w:p>
      <w:pPr>
        <w:spacing w:after="0" w:line="56" w:lineRule="exact"/>
        <w:rPr>
          <w:rFonts w:ascii="Times New Roman" w:cs="Times New Roman" w:eastAsia="Times New Roman" w:hAnsi="Times New Roman"/>
          <w:sz w:val="18"/>
          <w:szCs w:val="18"/>
          <w:color w:val="auto"/>
        </w:rPr>
      </w:pPr>
    </w:p>
    <w:p>
      <w:pPr>
        <w:ind w:left="440" w:right="100" w:hanging="395"/>
        <w:spacing w:after="0" w:line="268" w:lineRule="auto"/>
        <w:tabs>
          <w:tab w:leader="none" w:pos="4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production capacity related to our Pernis, Rotterdam, The Netherlands facility, which was closed in 2025. Annual production capacity of BERI associated with Pernis facility was approximately 675 million pounds.</w:t>
      </w:r>
    </w:p>
    <w:p>
      <w:pPr>
        <w:spacing w:after="0" w:line="11" w:lineRule="exact"/>
        <w:rPr>
          <w:rFonts w:ascii="Times New Roman" w:cs="Times New Roman" w:eastAsia="Times New Roman" w:hAnsi="Times New Roman"/>
          <w:sz w:val="18"/>
          <w:szCs w:val="18"/>
          <w:color w:val="auto"/>
        </w:rPr>
      </w:pPr>
    </w:p>
    <w:p>
      <w:pPr>
        <w:ind w:left="440" w:hanging="395"/>
        <w:spacing w:after="0" w:line="291" w:lineRule="auto"/>
        <w:tabs>
          <w:tab w:leader="none" w:pos="42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production capacity related to our chlorovinyl facilities that were closed in December 2025, including (i) our PVC plant at the Aberdeen, Mississippi site, which had an annual capacity of approximately 1.0 billion pounds of suspension PVC, (ii) our VCM plant at the Lake Charles, Louisiana North site, which had an annual capacity of approximately 910 million pounds of VCM, and (iii) one of our diaphragm chlor-alkali units at the Lake Charles, Louisiana site, which had an annual capacity of approximately 825 million pounds of chlorine and 910 million pounds of caustic soda.</w:t>
      </w:r>
    </w:p>
    <w:p>
      <w:pPr>
        <w:spacing w:after="0" w:line="2" w:lineRule="exact"/>
        <w:rPr>
          <w:rFonts w:ascii="Times New Roman" w:cs="Times New Roman" w:eastAsia="Times New Roman" w:hAnsi="Times New Roman"/>
          <w:sz w:val="16"/>
          <w:szCs w:val="16"/>
          <w:color w:val="auto"/>
        </w:rPr>
      </w:pPr>
    </w:p>
    <w:p>
      <w:pPr>
        <w:ind w:left="440" w:right="120" w:hanging="395"/>
        <w:spacing w:after="0" w:line="268" w:lineRule="auto"/>
        <w:tabs>
          <w:tab w:leader="none" w:pos="4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styrene production related to our styrene production plant located at the Lake Charles, Louisiana site, which was closed in December 2025 and had an annual production capacity of approximately 570 million pounds of styrene.</w:t>
      </w:r>
    </w:p>
    <w:p>
      <w:pPr>
        <w:spacing w:after="0" w:line="11" w:lineRule="exact"/>
        <w:rPr>
          <w:rFonts w:ascii="Times New Roman" w:cs="Times New Roman" w:eastAsia="Times New Roman" w:hAnsi="Times New Roman"/>
          <w:sz w:val="18"/>
          <w:szCs w:val="18"/>
          <w:color w:val="auto"/>
        </w:rPr>
      </w:pPr>
    </w:p>
    <w:p>
      <w:pPr>
        <w:ind w:left="440" w:right="880" w:hanging="395"/>
        <w:spacing w:after="0" w:line="268" w:lineRule="auto"/>
        <w:tabs>
          <w:tab w:leader="none" w:pos="4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increased chlorine, caustic soda and VCM production capacities of 220 million pounds, 242 million pounds and 600 million pounds, respectively, as a result of expansions at our Geismar, Louisiana facilities in 2025.</w:t>
      </w:r>
    </w:p>
    <w:p>
      <w:pPr>
        <w:spacing w:after="0" w:line="11" w:lineRule="exact"/>
        <w:rPr>
          <w:rFonts w:ascii="Times New Roman" w:cs="Times New Roman" w:eastAsia="Times New Roman" w:hAnsi="Times New Roman"/>
          <w:sz w:val="18"/>
          <w:szCs w:val="18"/>
          <w:color w:val="auto"/>
        </w:rPr>
      </w:pPr>
    </w:p>
    <w:p>
      <w:pPr>
        <w:ind w:left="440" w:right="400" w:hanging="395"/>
        <w:spacing w:after="0" w:line="268" w:lineRule="auto"/>
        <w:tabs>
          <w:tab w:leader="none" w:pos="4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production capacity in Lake Charles and Calvert City owned by OpCo and our portion of LACC's production capacity in Lake Charles. For additional information on OpCo, see "</w:t>
      </w:r>
      <w:r>
        <w:rPr>
          <w:rFonts w:ascii="Times New Roman" w:cs="Times New Roman" w:eastAsia="Times New Roman" w:hAnsi="Times New Roman"/>
          <w:sz w:val="18"/>
          <w:szCs w:val="18"/>
          <w:i w:val="1"/>
          <w:iCs w:val="1"/>
          <w:color w:val="auto"/>
        </w:rPr>
        <w:t>Ethylene</w:t>
      </w:r>
      <w:r>
        <w:rPr>
          <w:rFonts w:ascii="Times New Roman" w:cs="Times New Roman" w:eastAsia="Times New Roman" w:hAnsi="Times New Roman"/>
          <w:sz w:val="18"/>
          <w:szCs w:val="18"/>
          <w:color w:val="auto"/>
        </w:rPr>
        <w:t>" below</w:t>
      </w:r>
      <w:r>
        <w:rPr>
          <w:rFonts w:ascii="Times New Roman" w:cs="Times New Roman" w:eastAsia="Times New Roman" w:hAnsi="Times New Roman"/>
          <w:sz w:val="18"/>
          <w:szCs w:val="18"/>
          <w:i w:val="1"/>
          <w:iCs w:val="1"/>
          <w:color w:val="auto"/>
        </w:rPr>
        <w:t>.</w:t>
      </w:r>
    </w:p>
    <w:p>
      <w:pPr>
        <w:spacing w:after="0" w:line="11" w:lineRule="exact"/>
        <w:rPr>
          <w:rFonts w:ascii="Times New Roman" w:cs="Times New Roman" w:eastAsia="Times New Roman" w:hAnsi="Times New Roman"/>
          <w:sz w:val="18"/>
          <w:szCs w:val="18"/>
          <w:color w:val="auto"/>
        </w:rPr>
      </w:pPr>
    </w:p>
    <w:p>
      <w:pPr>
        <w:ind w:left="440" w:right="100" w:hanging="395"/>
        <w:spacing w:after="0" w:line="268" w:lineRule="auto"/>
        <w:tabs>
          <w:tab w:leader="none" w:pos="4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production capacity related to the PVC resin unit owned by the Company's 95% owned joint venture Suzhou Huasu Plastics, which was closed in October 2025.</w:t>
      </w:r>
    </w:p>
    <w:p>
      <w:pPr>
        <w:spacing w:after="0" w:line="11" w:lineRule="exact"/>
        <w:rPr>
          <w:rFonts w:ascii="Times New Roman" w:cs="Times New Roman" w:eastAsia="Times New Roman" w:hAnsi="Times New Roman"/>
          <w:sz w:val="18"/>
          <w:szCs w:val="18"/>
          <w:color w:val="auto"/>
        </w:rPr>
      </w:pPr>
    </w:p>
    <w:p>
      <w:pPr>
        <w:ind w:left="420" w:hanging="375"/>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in notes (10) and (11) below, we own each of these facilities.</w:t>
      </w:r>
    </w:p>
    <w:p>
      <w:pPr>
        <w:spacing w:after="0" w:line="56" w:lineRule="exact"/>
        <w:rPr>
          <w:rFonts w:ascii="Times New Roman" w:cs="Times New Roman" w:eastAsia="Times New Roman" w:hAnsi="Times New Roman"/>
          <w:sz w:val="18"/>
          <w:szCs w:val="18"/>
          <w:color w:val="auto"/>
        </w:rPr>
      </w:pPr>
    </w:p>
    <w:p>
      <w:pPr>
        <w:ind w:left="440" w:right="260" w:hanging="395"/>
        <w:spacing w:after="0" w:line="268" w:lineRule="auto"/>
        <w:tabs>
          <w:tab w:leader="none" w:pos="3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the land on which our Gendorf, Burghausen, Knapsack, Cologne and Esslingen, Germany facilities, Longview and Deer Park, Texas facilities and Argo, Illinois facility are located. We also lease the Esslingen, Germany building.</w:t>
      </w:r>
    </w:p>
    <w:p>
      <w:pPr>
        <w:spacing w:after="0" w:line="11" w:lineRule="exact"/>
        <w:rPr>
          <w:rFonts w:ascii="Times New Roman" w:cs="Times New Roman" w:eastAsia="Times New Roman" w:hAnsi="Times New Roman"/>
          <w:sz w:val="18"/>
          <w:szCs w:val="18"/>
          <w:color w:val="auto"/>
        </w:rPr>
      </w:pPr>
    </w:p>
    <w:p>
      <w:pPr>
        <w:ind w:left="380" w:hanging="335"/>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a portion of the land on which our Calvert City facility is located.</w:t>
      </w:r>
    </w:p>
    <w:p>
      <w:pPr>
        <w:spacing w:after="0" w:line="159"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Ethylene. </w:t>
      </w:r>
      <w:r>
        <w:rPr>
          <w:rFonts w:ascii="Times New Roman" w:cs="Times New Roman" w:eastAsia="Times New Roman" w:hAnsi="Times New Roman"/>
          <w:sz w:val="18"/>
          <w:szCs w:val="18"/>
          <w:color w:val="auto"/>
        </w:rPr>
        <w:t>Ethylene is the world's most widely used petrochemical in terms of volume. It is the key building block used to produce a large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value-added chemicals including PE, EDC, and VCM. We are party to certain agreements with Westlake Partners and OpCo whereby, among other things, OpCo sells us 95% of the ethylene it produces on a cost-plus basis that is expected to generate a fixed margin per pound of $0.10. OpCo has the capacity to produce approximately 3.0 billion pounds of ethylene per year at our Lake Charles site, and we have the capability to consume all of OpCo's production that we purchase at Lake Charles to produce EDC, VCM, and polyethylene. In addition, we (through OpCo) produce ethylene co-products including chemical grade propylene, crude butadiene, pyrolysis gasoline and hydrogen. We (through OpCo) sell our entire output of these co-products to external customers. The ethylene from OpCo's facility in Calvert City and LACC's facility in Lake Charles is used to produce VCM at our facilities. We obtain the remainder of the ethylene we need for our business from third party purchases. The use of ethane feedstock by our ethylene plants enables us to enhance our low-cost materials chain integration.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Chlorine and Caustic Soda. </w:t>
      </w:r>
      <w:r>
        <w:rPr>
          <w:rFonts w:ascii="Times New Roman" w:cs="Times New Roman" w:eastAsia="Times New Roman" w:hAnsi="Times New Roman"/>
          <w:sz w:val="18"/>
          <w:szCs w:val="18"/>
          <w:color w:val="auto"/>
        </w:rPr>
        <w:t>We are one of the largest producers of chlor-alkali in the world, having the capacity to produce approximately 6.7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pounds of chlorine and 7.5 billion pounds of caustic soda. We combine salt and electricity to produce chlorine and caustic soda, commonly referred to as chlor-alkali, at our Lake Charles, Plaquemine, Natrium, Calvert City, Geismar, Beauharnois, Longview (Washington), Gendorf, Knapsack and Kaohsiung facilities. Our Lake Charles, Plaquemine and Natrium cogeneration assets have the capacity to generate approximately 790, 240 and 100 megawatts of electricity, respectively, per year. We use our chlorine production in our VCM and chlorinated derivative products plants. We currently have the capacity to supply all of our chlorine requirements internally. Any remaining chlorine is sold into the merchant chlorine market. Our caustic soda is sold to external customers who use it for, among other things, to produce pulp and paper, organic and inorganic chemicals and alumina.</w:t>
      </w:r>
    </w:p>
    <w:p>
      <w:pPr>
        <w:spacing w:after="0" w:line="134" w:lineRule="exact"/>
        <w:rPr>
          <w:sz w:val="20"/>
          <w:szCs w:val="20"/>
          <w:color w:val="auto"/>
        </w:rPr>
      </w:pPr>
    </w:p>
    <w:p>
      <w:pPr>
        <w:ind w:right="20" w:firstLine="395"/>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VCM. </w:t>
      </w:r>
      <w:r>
        <w:rPr>
          <w:rFonts w:ascii="Times New Roman" w:cs="Times New Roman" w:eastAsia="Times New Roman" w:hAnsi="Times New Roman"/>
          <w:sz w:val="16"/>
          <w:szCs w:val="16"/>
          <w:color w:val="auto"/>
        </w:rPr>
        <w:t>VCM is used to produce PVC, solvents and PVC-related products. We use ethylene and chlorine to produce EDC, which is used in turn, to produce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VCM. We have the capacity to produce approximately 6.1 billion pounds and 1.6 billion pounds of VCM per year at our North American and European facilities, respectively. The majority of our VCM is used internally in our PVC operations. VCM and EDC not used internally are sold externally.</w:t>
      </w:r>
    </w:p>
    <w:p>
      <w:pPr>
        <w:spacing w:after="0" w:line="90" w:lineRule="exact"/>
        <w:rPr>
          <w:sz w:val="20"/>
          <w:szCs w:val="20"/>
          <w:color w:val="auto"/>
        </w:rPr>
      </w:pPr>
    </w:p>
    <w:p>
      <w:pPr>
        <w:ind w:right="2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PVC. </w:t>
      </w:r>
      <w:r>
        <w:rPr>
          <w:rFonts w:ascii="Times New Roman" w:cs="Times New Roman" w:eastAsia="Times New Roman" w:hAnsi="Times New Roman"/>
          <w:sz w:val="18"/>
          <w:szCs w:val="18"/>
          <w:color w:val="auto"/>
        </w:rPr>
        <w:t>PVC, the world's third most widely used plastic, is an attractive alternative to traditional materials such as glass, metal, wood, concrete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plastic materials because of its versatility, durability and cost-competitiveness. PVC is produced from VCM, which is, in turn, made from chlorine and ethylene.</w:t>
      </w:r>
    </w:p>
    <w:p>
      <w:pPr>
        <w:spacing w:after="0" w:line="127" w:lineRule="exact"/>
        <w:rPr>
          <w:sz w:val="20"/>
          <w:szCs w:val="20"/>
          <w:color w:val="auto"/>
        </w:rPr>
      </w:pPr>
    </w:p>
    <w:p>
      <w:pPr>
        <w:ind w:right="500" w:firstLine="395"/>
        <w:spacing w:after="0" w:line="252" w:lineRule="auto"/>
        <w:rPr>
          <w:sz w:val="20"/>
          <w:szCs w:val="20"/>
          <w:color w:val="auto"/>
        </w:rPr>
      </w:pPr>
      <w:r>
        <w:rPr>
          <w:rFonts w:ascii="Times New Roman" w:cs="Times New Roman" w:eastAsia="Times New Roman" w:hAnsi="Times New Roman"/>
          <w:sz w:val="18"/>
          <w:szCs w:val="18"/>
          <w:color w:val="auto"/>
        </w:rPr>
        <w:t>We are one of the largest PVC producers in the world. We have the capacity to produce approximately 5.5 billion pounds and 1.0 billion pounds of commodity and specialty PVC per year, respectively, at our various facilities globally. We use some of our PVC internally in the HIP segment for the production of our building products, pipe and fittings and compounds. The remainder of our PVC is sold to downstream fabricators and the international markets.</w:t>
      </w:r>
    </w:p>
    <w:p>
      <w:pPr>
        <w:spacing w:after="0" w:line="129" w:lineRule="exact"/>
        <w:rPr>
          <w:sz w:val="20"/>
          <w:szCs w:val="20"/>
          <w:color w:val="auto"/>
        </w:rPr>
      </w:pPr>
    </w:p>
    <w:p>
      <w:pPr>
        <w:ind w:right="12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Polyethylene. </w:t>
      </w:r>
      <w:r>
        <w:rPr>
          <w:rFonts w:ascii="Times New Roman" w:cs="Times New Roman" w:eastAsia="Times New Roman" w:hAnsi="Times New Roman"/>
          <w:sz w:val="16"/>
          <w:szCs w:val="16"/>
          <w:color w:val="auto"/>
        </w:rPr>
        <w:t>Polyethylene, the world's most widely consumed polymer, is used to manufacture a wide variety of film, coatings and molded product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applications primarily used in packaging. PE is generally classified as either LDPE, LLDPE or high-density polyethylene ("HDPE"). The density correlates to the relative stiffness of the end-use products. The difference between LDPE and LLDPE is molecular, and products produced from LLDPE, in general, have higher strength properties than products produced from LDPE. LDPE exhibits better clarity and other physical properties and is used in end products such as bread bags, food wraps, milk carton coatings and food packaging. LLDPE is used for higher film strength applications such as stretch film and heavy-duty sacks. HDPE is used to manufacture products such as groceries, merchandise and trash bags, rigid plastic containers, plastic closures and pipes.</w:t>
      </w:r>
    </w:p>
    <w:p>
      <w:pPr>
        <w:spacing w:after="0" w:line="108"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We are a leading producer of LDPE by capacity in North America and predominantly use the autoclave technology (versus tubular technology), which is capable of producing higher-margin specialty PE products. In 2025, our annual capacity of approximately 1.5 billion pounds of LDPE was available in numerous formulations to meet the needs of our diverse customer base. We also have the capacity to produce approximately 1.1 billion pounds of LLDPE per year in various formulations. We produce LDPE and LLDPE at both the Lake Charles and Longview (Texas) facilities. Our Lake Charles and Longview facilities also have the capability to produce HDPE. We sell PE to external customers as a final product in pellet form.</w:t>
      </w:r>
    </w:p>
    <w:p>
      <w:pPr>
        <w:spacing w:after="0" w:line="130"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Chlorinated Derivative Materials. </w:t>
      </w:r>
      <w:r>
        <w:rPr>
          <w:rFonts w:ascii="Times New Roman" w:cs="Times New Roman" w:eastAsia="Times New Roman" w:hAnsi="Times New Roman"/>
          <w:sz w:val="17"/>
          <w:szCs w:val="17"/>
          <w:color w:val="auto"/>
        </w:rPr>
        <w:t>Our chlorinated derivative products include ethyl chloride, perchloroethylene, trichloroethylene, tri-ethane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solvents,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VersaTRANS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solvents, calcium hypochlorite, hydrochloric acid (HCL) and pelletized caustic soda. We have the capacity to produce approximately 2.3 billion pounds of chlorinated derivative products per year, primarily at our Lake Charles, Natrium, Beauharnois and Longview (Washington) facilities. The majority of our chlorinated derivative products are sold to external customers who use these products for, among other things, refrigerants, water treatment applications, chemicals and pharmaceutical production, food processing, steel pickling, solvent and cleaning chemicals and natural gas and oil production.</w:t>
      </w:r>
    </w:p>
    <w:p>
      <w:pPr>
        <w:spacing w:after="0" w:line="138"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Epoxy Specialty Resins. </w:t>
      </w:r>
      <w:r>
        <w:rPr>
          <w:rFonts w:ascii="Times New Roman" w:cs="Times New Roman" w:eastAsia="Times New Roman" w:hAnsi="Times New Roman"/>
          <w:sz w:val="18"/>
          <w:szCs w:val="18"/>
          <w:color w:val="auto"/>
        </w:rPr>
        <w:t>We are one of the leading producers of epoxy specialty resins, modifiers and curing agents in Europe, the United States and Asia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global reach to our end markets. Epoxy resins are the fundamental component of many types of materials and are often used in the automotive, construction, wind energy, aerospace and electronics industries due to their superior adhesion, strength and durability. Epoxy specialty resins are used for a variety of high-end coating applications that require superior adhesion, corrosion resistance and durability of epoxy such as protective coatings that are used for construction, flooring and transportation, among others. We produce epoxy specialty resins at our plants located in Duisburg and Esslingen, Germany, Barbastro, Spain, Onsan, South Korea, and Lakeland, Florida and Argo, Illinois in the United States. We have the total capacity to produce approximately 580 million pounds of epoxy specialty resins per year, all of which is sold to external customers.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Base Epoxy Resins and Intermediaries (BERI). </w:t>
      </w:r>
      <w:r>
        <w:rPr>
          <w:rFonts w:ascii="Times New Roman" w:cs="Times New Roman" w:eastAsia="Times New Roman" w:hAnsi="Times New Roman"/>
          <w:sz w:val="16"/>
          <w:szCs w:val="16"/>
          <w:color w:val="auto"/>
        </w:rPr>
        <w:t>We are a leading supplier of Liquid and Solid Epoxy Resin. These base epoxies are used in a wide variety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industrial coatings applications. In addition, we are a major producer of bisphenol-A ("BPA"), a key precursor in the downstream manufacturing of basic epoxy resins and specialty resins. We internally consume the majority of our BPA, which ensures consistent supply of our required intermediate materials. We produce base epoxies and intermediaries at our Deer Park, Texas facility, where we have the capacity to produce approximately 610 million pounds per year.</w:t>
      </w:r>
    </w:p>
    <w:p>
      <w:pPr>
        <w:spacing w:after="0" w:line="99" w:lineRule="exact"/>
        <w:rPr>
          <w:sz w:val="20"/>
          <w:szCs w:val="20"/>
          <w:color w:val="auto"/>
        </w:rPr>
      </w:pPr>
    </w:p>
    <w:p>
      <w:pPr>
        <w:ind w:right="5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Product and Application Development. </w:t>
      </w:r>
      <w:r>
        <w:rPr>
          <w:rFonts w:ascii="Times New Roman" w:cs="Times New Roman" w:eastAsia="Times New Roman" w:hAnsi="Times New Roman"/>
          <w:sz w:val="18"/>
          <w:szCs w:val="18"/>
          <w:color w:val="auto"/>
        </w:rPr>
        <w:t>Our product and application development activities are geared towards developing and enhancing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and applications. Facilities where we perform such activities are located in the United States, Germany and China.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Feedstocks</w:t>
      </w:r>
    </w:p>
    <w:p>
      <w:pPr>
        <w:spacing w:after="0" w:line="87" w:lineRule="exact"/>
        <w:rPr>
          <w:sz w:val="20"/>
          <w:szCs w:val="20"/>
          <w:color w:val="auto"/>
        </w:rPr>
      </w:pPr>
    </w:p>
    <w:p>
      <w:pPr>
        <w:ind w:right="120" w:firstLine="395"/>
        <w:spacing w:after="0" w:line="246" w:lineRule="auto"/>
        <w:rPr>
          <w:sz w:val="20"/>
          <w:szCs w:val="20"/>
          <w:color w:val="auto"/>
        </w:rPr>
      </w:pPr>
      <w:r>
        <w:rPr>
          <w:rFonts w:ascii="Times New Roman" w:cs="Times New Roman" w:eastAsia="Times New Roman" w:hAnsi="Times New Roman"/>
          <w:sz w:val="18"/>
          <w:szCs w:val="18"/>
          <w:color w:val="auto"/>
        </w:rPr>
        <w:t>We are highly integrated along our materials production chain. We (through OpCo) produce most of the ethylene required to produce our PE and vinyl products. Ethylene can be produced from either petroleum liquid feedstocks, such as naphtha, condensates and gas oils, or from natural gas liquid feedstocks, such as ethane, propane and butane. Both of OpCo's Lake Charles ethylene plants use ethane as the primary feedstock. Pursuant to a feedstock supply agreement between us and OpCo, OpCo receives ethane feedstock at our Lake Charles site through several pipelines from a variety of suppliers in Texas and Louisiana. We own a 50% interest in a 104-mile natural gas liquids pipeline from Mont Belvieu to our Lake Charles facility. OpCo owns a 200-mile ethylene pipeline that runs from Mont Belvieu to our Longview (Texas) site. Additionally, through OpCo, we produce most of the ethylene required at our Calvert City facility utilizing ethane feedstock. The LACC ethylene facility is located adjacent to our chlor-alkali facility in Lake Charles and has an ethylene production capacity of 2.2 billion pounds per year. At December 31, 2025, we, through one of our subsidiaries, owned 50% of the membership interests in LACC. We receive our proportionate share in ethylene production on a cash-cost basis and primarily use it to produce VCM. In Germany, we have access to, and partially own, an ethylene pipeline.</w:t>
      </w:r>
    </w:p>
    <w:p>
      <w:pPr>
        <w:spacing w:after="0" w:line="142"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We acquire butene and hexene to manufacture PE. We receive butene and hexene at the Lake Charles site and hexene at the Longview (Texas) site by rail car from several suppliers. We purchase butene and hexene pursuant to multi-year contracts.</w:t>
      </w:r>
    </w:p>
    <w:p>
      <w:pPr>
        <w:spacing w:after="0" w:line="11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salt requirements for several of our larger chlor-alkali plants are supplied internally from salt domes we either own or lease and the salt-water brine is transported by pipelines we own. We purchase the salt required for our other chlor-alkali plants pursuant to long-term contracts. Electricity and steam for one of our Lake Charles facilities and our Plaquemine facility are produced by on-site cogeneration units. A portion of our Natrium facility's electricity requirements is produced by our on-site generation unit, and the remainder is purchased. We purchase electricity for our remaining facilities under long-term contracts. We purchase VCM for our Asian PVC plant on a contract and spot basis.</w:t>
      </w:r>
    </w:p>
    <w:p>
      <w:pPr>
        <w:spacing w:after="0" w:line="133"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raw materials used to manufacture our epoxy products include chlorine, caustic soda, phenol and acetone, all of which are available from more than one source. Prices for our main feedstocks are generally driven by the underlying petrochemical benchmark prices and energy costs, which are subject to price fluctuations.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Sales and Distribution</w:t>
      </w:r>
    </w:p>
    <w:p>
      <w:pPr>
        <w:spacing w:after="0" w:line="100"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We have a dedicated sales force for our business, organized by product line and region that sells our products directly to our customers. In addition, we rely on distributors to market products to smaller customers. Our PE customers are some of the nation's largest producers of film and flexible packaging. We and OpCo sell ethylene and ethylene co-products to external customers. OpCo's primary ethylene co-products are chemical grade propylene, crude butadiene, pyrolysis gasoline and hydrogen. We have storage agreements and exchange agreements that provide us and OpCo with access to customers who are not directly connected to the pipeline system that we own. OpCo ships crude butadiene and pyrolysis gasoline by rail or truck. Additionally, we transport our polyethylene by rail or truck.</w:t>
      </w:r>
    </w:p>
    <w:p>
      <w:pPr>
        <w:spacing w:after="0" w:line="133"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use some of our PVC internally to produce our building products, pipe and fittings and compounds in the HIP segment. The remainder of our PVC is sold to downstream fabricators and the international markets. We have the capacity to use a majority of our chlorine internally to produce VCM and EDC, most of which, in turn, is used to produce PVC. We also use our chlorine internally to produce chlorinated derivative products. We sell the remainder of our chlorine and substantially all of our caustic soda production to external customers. The majority of our products are shipped from production facilities directly to the customer via pipeline, truck, rail, barge and/or ship. The remaining products are shipped from production facilities to third party chemical terminals and warehouses until being sold to customers.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single customer accounted for 10% or more of net sales for the PEM segment in 2025.</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87"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markets in which our PEM businesses operate are highly competitive, with competition based primarily on price and to a lesser extent, on product availability, product quality and consistency, product performance and customer service. We sell our commodities products in global markets, with prices related to the balance of supply and demand, which is affected by production and exports from other countries. As such, our competitive position is affected by trade regulations, international fair trade laws, policies and disputes, trade barriers, tariffs, duties or other taxes.</w:t>
      </w:r>
    </w:p>
    <w:p>
      <w:pPr>
        <w:spacing w:after="0" w:line="131" w:lineRule="exact"/>
        <w:rPr>
          <w:sz w:val="20"/>
          <w:szCs w:val="20"/>
          <w:color w:val="auto"/>
        </w:rPr>
      </w:pPr>
    </w:p>
    <w:p>
      <w:pPr>
        <w:ind w:right="100" w:firstLine="395"/>
        <w:spacing w:after="0" w:line="247" w:lineRule="auto"/>
        <w:rPr>
          <w:sz w:val="20"/>
          <w:szCs w:val="20"/>
          <w:color w:val="auto"/>
        </w:rPr>
      </w:pPr>
      <w:r>
        <w:rPr>
          <w:rFonts w:ascii="Times New Roman" w:cs="Times New Roman" w:eastAsia="Times New Roman" w:hAnsi="Times New Roman"/>
          <w:sz w:val="18"/>
          <w:szCs w:val="18"/>
          <w:color w:val="auto"/>
        </w:rPr>
        <w:t>Our competitors in the ethylene and PE markets are some of the world's largest chemical companies, including Chevron Phillips Chemical Company, Dow Inc., ExxonMobil Chemical Company, Formosa Plastics Corporation, LyondellBasell Industries, N.V., NOVA Chemicals Corporation and Sasol Limited. We compete in the chlor-alkali and PVC markets with other producers including Formosa Plastics Corporation, INOVYN ChlorVinyls Limited, KEM ONE Group SAS, Olin Corporation, Orbia Advance Corporation, Occidental Chemical Corporation, Shintech, Inc. and VYNOVA Group. Our competitors in the epoxy value chain include Olin Corporation, Nan Ya Plastics Corporation, the Spolchemie Group, LEUNA-Harze GmbH, Aditya Birla Chemicals (Thailand) Ltd., Huntsman Corporation, Swancor Holding Company Limited, Ningbo Bohui Chemical Technology Co., Ltd., Techstorm Advanced Material Co., Ltd., Shanghai Kangda Chemical New Material Group Co., Ltd., Evonik Industries AG, Allnex Management GmbH, Kukdo Chemical Co., Ltd., Kumhu Asiana Group and Chang Chun Plastics Co., Ltd.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Our sales of chlorovinyls products have historically experienced some seasonality. We have typically experienced moderately higher levels of sales of our PEM products in the first half of the year and lower levels in the fourth quarter coinciding with the seasonal trends of our HIP business. The chlor-alkali and petrochemical industries in general exhibit cyclical commodity characteristics influenced by changes in the balance between global supply and demand and the resulting operating rates, the level of general economic activity, turnaround activities and the price of raw materials.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98"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As is common in our industry, we are subject to environmental laws and regulations related to the use, storage, handling, generation, transportation, emission, discharge, disposal and remediation of, and exposure to, hazardous and non-hazardous substances and wastes in all of the countries in which we do business. National, state or provincial and local standards regulating air, water and land quality affect substantially all of our manufacturing locations around the world. Compliance with such laws and regulations has required and will continue to require capital expenditures and increase operating costs.</w:t>
      </w:r>
    </w:p>
    <w:p>
      <w:pPr>
        <w:spacing w:after="0" w:line="102"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It is our policy to comply with all environmental, health and safety requirements and to provide safe and environmentally sound workplaces for our employees. In some cases, compliance can be achieved only by incurring capital expenditures. In 2025, we made capital expenditures of $49 million related to environmental compliance. We estimate that we will make capital expenditures of approximately $103 million in 2026 and $125 million in 2027, respectively, related to environmental compliance. The expected 2026 and 2027 capital expenditures are relatively higher than the amounts we have spent related to environmental compliance in recent years in large part due to capital expenditures related to previously existing and new Environmental Protection Agency (the "EPA") regulations, including the EPA's 2024 update to the hazardous organic national emission standards for hazardous air pollutants ("NESHAPs"). The remainder of the 2026 and 2027 estimated expenditures are related to equipment replacement and upgrades. We anticipate that stringent environmental regulations will continue to be imposed on us and the industry in general.</w:t>
      </w:r>
    </w:p>
    <w:p>
      <w:pPr>
        <w:spacing w:after="0" w:line="13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Pursuant to Item 103 of the SEC's Regulation S-K, the following environmental matters involve a governmental authority as a party to the proceedings and potential monetary sanctions that we believe could exceed $1 million (which is less than one percent of our current assets on a consolidated basis as of December 31, 2025):</w:t>
      </w:r>
    </w:p>
    <w:p>
      <w:pPr>
        <w:spacing w:after="0" w:line="63" w:lineRule="exact"/>
        <w:rPr>
          <w:sz w:val="20"/>
          <w:szCs w:val="20"/>
          <w:color w:val="auto"/>
        </w:rPr>
      </w:pPr>
    </w:p>
    <w:p>
      <w:pPr>
        <w:jc w:val="both"/>
        <w:ind w:left="840" w:hanging="322"/>
        <w:spacing w:after="0" w:line="304" w:lineRule="auto"/>
        <w:tabs>
          <w:tab w:leader="none" w:pos="83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Natrium Facility Discharge Investigation. </w:t>
      </w:r>
      <w:r>
        <w:rPr>
          <w:rFonts w:ascii="Times New Roman" w:cs="Times New Roman" w:eastAsia="Times New Roman" w:hAnsi="Times New Roman"/>
          <w:sz w:val="16"/>
          <w:szCs w:val="16"/>
          <w:color w:val="auto"/>
        </w:rPr>
        <w:t>To resolve alleged violations associated with exceedances of discharge limits under the Natrium facility's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National Pollutant Discharge Elimination System ("NPDES") permit effective August 2020, we have entered into enforcement negotiations with the West Virginia Department of Environmental Protection ("WVDEP"). The resolution of this matter may involve a penalty in excess of $1 million.</w:t>
      </w:r>
    </w:p>
    <w:p>
      <w:pPr>
        <w:spacing w:after="0" w:line="92"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Also see our discussion of our environmental matters contained in Item 1A, "Risk Factors" below, Item 3, "Legal Proceedings" below and Note 21 "Commitments and Contingencies" to Consolidated Financial Statements included in Item 8 of this Form 10-K.</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85"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Westlake is committed to acting in a safe, ethical and environmentally and socially responsible manner. While we have been a public company for 21 years, we still think of our employees as members of our extended family. We value the integrity, creativity, dedication and diversity of ideas that our employees bring to work every day.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Headcount</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we had approximately 14,600 employees in the following areas: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4"/>
        </w:trPr>
        <w:tc>
          <w:tcPr>
            <w:tcW w:w="9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 segment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2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 segment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24"/>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employees are distributed across 18 countries. As of December 31, 2025, approximately 68% were employed in the United States. Approximately</w:t>
      </w:r>
    </w:p>
    <w:p>
      <w:pPr>
        <w:spacing w:after="0" w:line="21" w:lineRule="exact"/>
        <w:rPr>
          <w:sz w:val="20"/>
          <w:szCs w:val="20"/>
          <w:color w:val="auto"/>
        </w:rPr>
      </w:pPr>
    </w:p>
    <w:p>
      <w:pPr>
        <w:ind w:right="620"/>
        <w:spacing w:after="0" w:line="309" w:lineRule="auto"/>
        <w:rPr>
          <w:sz w:val="20"/>
          <w:szCs w:val="20"/>
          <w:color w:val="auto"/>
        </w:rPr>
      </w:pPr>
      <w:r>
        <w:rPr>
          <w:rFonts w:ascii="Times New Roman" w:cs="Times New Roman" w:eastAsia="Times New Roman" w:hAnsi="Times New Roman"/>
          <w:sz w:val="16"/>
          <w:szCs w:val="16"/>
          <w:color w:val="auto"/>
        </w:rPr>
        <w:t>24% of our employees are represented by labor unions, including works councils in Europe, and our collective bargaining agreements in Europe, North America and Asia expire at various times through 2029. We believe that our relationship with our employees and unions is open and positive.</w:t>
      </w:r>
    </w:p>
    <w:p>
      <w:pPr>
        <w:spacing w:after="0" w:line="87"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Attracting, developing and retaining talented people is crucial to executing our strategy and achieving our business goals. Our ability to recruit and retain such talent depends on a number of factors, including compensation and benefits, career opportunities and work environment. We provide our employees with competitive compensation packages, development programs that enable continued learning and growth, and comprehensive and competitive benefit packages. Our global compensation and benefits arrangements generally are tailored to local markets of operation.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Professional Development</w:t>
      </w:r>
    </w:p>
    <w:p>
      <w:pPr>
        <w:spacing w:after="0" w:line="87"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As part of our retention and promotion efforts, we invest in internal leadership development. We regularly provide our employees with a blend of live, virtual, and digital training opportunities. Depending on an employee's position and job responsibilities, these opportunities include safety training, technical courses, compliance training relating to company policies, business and professional development training, and professional growth classes. We also periodically conduct employee surveys to gauge employee engagement and identify areas for additional focus.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and Community</w:t>
      </w:r>
    </w:p>
    <w:p>
      <w:pPr>
        <w:spacing w:after="0" w:line="10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Engaging with the communities in which we live and work is important to Westlake, and our employees around the world regularly engage in local community events and organizations. These service opportunities include supporting programs developing interest in science, technology, engineering and mathematics (STEM) and manufacturing careers for children and young adults, improving the environment, supporting veterans, and participating in sporting events raising awareness of various causes that are important to our communities.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00"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The health and safety of our employees and our operations is our highest priority. Our health and safety programs are designed around global standards with appropriate variations to address multiple jurisdictions and regulations, specific hazards and unique working environments of our manufacturing, research and development, and administrative office locations. We require each of our locations to perform regular safety audits to ensure proper safety policies, program procedures, analyses and training are in place.</w:t>
      </w:r>
    </w:p>
    <w:p>
      <w:pPr>
        <w:spacing w:after="0" w:line="131"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Our focus on safety starts with our Board of Directors. Safety is a key performance indicator that is reported on and discussed at every Board meeting. Our Health, Safety and Environment ("HSE") team plays a pivotal role in overseeing all related policy protections, risk identification and other aspects of our business.</w:t>
      </w:r>
    </w:p>
    <w:p>
      <w:pPr>
        <w:spacing w:after="0" w:line="127"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Several of our U.S. manufacturing sites have been recognized by the U.S. Occupational Safety &amp; Health Administration's ("OSHA") Voluntary Protection Program for their low injury rates, employee engagement, and safety programs. Several of our manufacturing sites have achieved ISO 45001 certification, which are internationally recognized standards for Occupational Health and Safety.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Technology</w:t>
      </w:r>
    </w:p>
    <w:p>
      <w:pPr>
        <w:spacing w:after="0" w:line="85"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 rely upon both trademark and service mark protection to protect our brands and intellectual property, and have registered or applied to register many of these on a world-wide basis. We have more than 1,900 active and pending trademark registrations worldwide for our various business segments. We also rely on a combination of patents and un-patented proprietary know-how and trade secrets to preserve our competitive technology position in the market. We have more than 1,100 issued patents and pending-patent applications in the United States and several other countries. While some of our production capacity operates under licenses from third parties, other parts of our production operate under technology that was developed internally. We offer our own independently developed technology for licensing when the opportunity makes sense on a commercial basis. Although we consider our patents, licenses, trademarks and trade secrets in the aggregate to constitute a valuable asset that provides us with a competitive advantage, we do not regard any one of our businesses as being materially dependent upon any single or group of related patents, trademarks, licenses, or trade secrets.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8"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color w:val="auto"/>
        </w:rPr>
        <w:t>Our website address is www.westlake.com. Our website content is available for information purposes only. It should not be relied upon for investment purposes, nor is it incorporated by reference in this Form 10-K. We make available on this website under "Investor Relations/Financials," free of charge, our proxy statements, annual reports on Form 10-K, quarterly reports on Form 10-Q, current reports on Form 8-K and amendments to those materials as soon as reasonably practicable after we electronically file those materials with, or furnish those materials to, the SEC. The SEC also maintains a website at www.sec.gov that contains reports, proxy statements and other information regarding SEC registrants, including us.</w:t>
      </w:r>
    </w:p>
    <w:p>
      <w:pPr>
        <w:spacing w:after="0" w:line="133"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Code of Ethics and any waiver from a provision of our Code of Ethics by posting such information on our website at www.westlake.com under "Investor Relations/Governance."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Industry and Operations</w:t>
      </w:r>
    </w:p>
    <w:p>
      <w:pPr>
        <w:spacing w:after="0" w:line="85"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Cyclicality in the petrochemical industry has in the past, and may in the future, result in reduced operating margins or operating losses.</w:t>
      </w:r>
    </w:p>
    <w:p>
      <w:pPr>
        <w:spacing w:after="0" w:line="94" w:lineRule="exact"/>
        <w:rPr>
          <w:rFonts w:ascii="Arial" w:cs="Arial" w:eastAsia="Arial" w:hAnsi="Arial"/>
          <w:sz w:val="18"/>
          <w:szCs w:val="18"/>
          <w:color w:val="auto"/>
        </w:rPr>
      </w:pPr>
    </w:p>
    <w:p>
      <w:pPr>
        <w:ind w:left="840" w:right="40" w:hanging="322"/>
        <w:spacing w:after="0" w:line="268"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and Essential Materials business could suffer if commodity product exports by other countries significantly increase or are sold in global markets in violation of international fair trade laws.</w:t>
      </w:r>
    </w:p>
    <w:p>
      <w:pPr>
        <w:spacing w:after="0" w:line="50"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most of our commodity products in highly competitive markets and face significant competition and price pressure.</w:t>
      </w:r>
    </w:p>
    <w:p>
      <w:pPr>
        <w:spacing w:after="0" w:line="82" w:lineRule="exact"/>
        <w:rPr>
          <w:rFonts w:ascii="Times New Roman" w:cs="Times New Roman" w:eastAsia="Times New Roman" w:hAnsi="Times New Roman"/>
          <w:sz w:val="18"/>
          <w:szCs w:val="18"/>
          <w:color w:val="auto"/>
        </w:rPr>
      </w:pPr>
    </w:p>
    <w:p>
      <w:pPr>
        <w:ind w:left="840" w:right="60" w:hanging="322"/>
        <w:spacing w:after="0" w:line="268"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internationally and are subject to related risks, including exchange rate fluctuations, exchange controls, trade barriers, tariffs and duties, political risk and other risks relating to international operations.</w:t>
      </w:r>
    </w:p>
    <w:p>
      <w:pPr>
        <w:spacing w:after="0" w:line="50" w:lineRule="exact"/>
        <w:rPr>
          <w:rFonts w:ascii="Times New Roman" w:cs="Times New Roman" w:eastAsia="Times New Roman" w:hAnsi="Times New Roman"/>
          <w:sz w:val="18"/>
          <w:szCs w:val="18"/>
          <w:color w:val="auto"/>
        </w:rPr>
      </w:pPr>
    </w:p>
    <w:p>
      <w:pPr>
        <w:ind w:left="840" w:right="460" w:hanging="322"/>
        <w:spacing w:after="0" w:line="332" w:lineRule="auto"/>
        <w:tabs>
          <w:tab w:leader="none" w:pos="83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depend on the availability and costs of raw materials, energy and utilities, and volatility in costs of raw materials, energy and utilities and supply chain constraints may result in increased operating expenses and adversely affect our results of operations and cash flows.</w:t>
      </w:r>
    </w:p>
    <w:p>
      <w:pPr>
        <w:spacing w:after="0" w:line="4" w:lineRule="exact"/>
        <w:rPr>
          <w:rFonts w:ascii="Times New Roman" w:cs="Times New Roman" w:eastAsia="Times New Roman" w:hAnsi="Times New Roman"/>
          <w:sz w:val="16"/>
          <w:szCs w:val="16"/>
          <w:color w:val="auto"/>
        </w:rPr>
      </w:pPr>
    </w:p>
    <w:p>
      <w:pPr>
        <w:ind w:left="840" w:right="380" w:hanging="322"/>
        <w:spacing w:after="0" w:line="268"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assets are subject to climate-related risks such as hurricanes or other weather events that may adversely affect our results of operations and cash flows.</w:t>
      </w:r>
    </w:p>
    <w:p>
      <w:pPr>
        <w:spacing w:after="0" w:line="37" w:lineRule="exact"/>
        <w:rPr>
          <w:rFonts w:ascii="Times New Roman" w:cs="Times New Roman" w:eastAsia="Times New Roman" w:hAnsi="Times New Roman"/>
          <w:sz w:val="18"/>
          <w:szCs w:val="18"/>
          <w:color w:val="auto"/>
        </w:rPr>
      </w:pPr>
    </w:p>
    <w:p>
      <w:pPr>
        <w:ind w:left="840" w:right="180" w:hanging="322"/>
        <w:spacing w:after="0" w:line="268"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factors beyond our control can cause fluctuations in demand for our products and in our prices and margins, which may negatively affect our results of operations and cash flows.</w:t>
      </w:r>
    </w:p>
    <w:p>
      <w:pPr>
        <w:spacing w:after="0" w:line="50" w:lineRule="exact"/>
        <w:rPr>
          <w:rFonts w:ascii="Times New Roman" w:cs="Times New Roman" w:eastAsia="Times New Roman" w:hAnsi="Times New Roman"/>
          <w:sz w:val="18"/>
          <w:szCs w:val="18"/>
          <w:color w:val="auto"/>
        </w:rPr>
      </w:pPr>
    </w:p>
    <w:p>
      <w:pPr>
        <w:ind w:left="840" w:right="220" w:hanging="322"/>
        <w:spacing w:after="0" w:line="268"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 American housing market may remain depressed or decline further, and any such continuation or decline in the homebuilding industry may adversely affect our operating results.</w:t>
      </w:r>
    </w:p>
    <w:p>
      <w:pPr>
        <w:spacing w:after="0" w:line="50"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may reduce our operating profits.</w:t>
      </w:r>
    </w:p>
    <w:p>
      <w:pPr>
        <w:spacing w:after="0" w:line="82" w:lineRule="exact"/>
        <w:rPr>
          <w:rFonts w:ascii="Times New Roman" w:cs="Times New Roman" w:eastAsia="Times New Roman" w:hAnsi="Times New Roman"/>
          <w:sz w:val="18"/>
          <w:szCs w:val="18"/>
          <w:color w:val="auto"/>
        </w:rPr>
      </w:pPr>
    </w:p>
    <w:p>
      <w:pPr>
        <w:ind w:left="840" w:right="220" w:hanging="322"/>
        <w:spacing w:after="0" w:line="268"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facilities process some volatile and hazardous materials that subject us to operating and litigation risks that could adversely affect our operating results.</w:t>
      </w:r>
    </w:p>
    <w:p>
      <w:pPr>
        <w:spacing w:after="0" w:line="50"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outside suppliers for specified feedstocks and services.</w:t>
      </w:r>
    </w:p>
    <w:p>
      <w:pPr>
        <w:spacing w:after="0" w:line="82" w:lineRule="exact"/>
        <w:rPr>
          <w:rFonts w:ascii="Times New Roman" w:cs="Times New Roman" w:eastAsia="Times New Roman" w:hAnsi="Times New Roman"/>
          <w:sz w:val="18"/>
          <w:szCs w:val="18"/>
          <w:color w:val="auto"/>
        </w:rPr>
      </w:pPr>
    </w:p>
    <w:p>
      <w:pPr>
        <w:ind w:left="840" w:right="100" w:hanging="322"/>
        <w:spacing w:after="0" w:line="268"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third party transportation, which subjects us to risks and costs that we cannot control. Such risks and costs may adversely affect our operations.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40" w:right="100" w:hanging="322"/>
        <w:spacing w:after="0" w:line="268"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acquisitions, dispositions, joint ventures or other transactions that may impact our results of operations and financial condition. We may have difficulties integrating the operations of recently acquired businesses, such as ACI, and future acquired businesses.</w:t>
      </w:r>
    </w:p>
    <w:p>
      <w:pPr>
        <w:spacing w:after="0" w:line="37" w:lineRule="exact"/>
        <w:rPr>
          <w:rFonts w:ascii="Times New Roman" w:cs="Times New Roman" w:eastAsia="Times New Roman" w:hAnsi="Times New Roman"/>
          <w:sz w:val="18"/>
          <w:szCs w:val="18"/>
          <w:color w:val="auto"/>
        </w:rPr>
      </w:pPr>
    </w:p>
    <w:p>
      <w:pPr>
        <w:ind w:left="840" w:right="140" w:hanging="322"/>
        <w:spacing w:after="0" w:line="268"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projects are subject to risks, including delays and cost overruns, which could have an adverse impact on our financial condition and results of operations.</w:t>
      </w:r>
    </w:p>
    <w:p>
      <w:pPr>
        <w:spacing w:after="0" w:line="50" w:lineRule="exact"/>
        <w:rPr>
          <w:rFonts w:ascii="Times New Roman" w:cs="Times New Roman" w:eastAsia="Times New Roman" w:hAnsi="Times New Roman"/>
          <w:sz w:val="18"/>
          <w:szCs w:val="18"/>
          <w:color w:val="auto"/>
        </w:rPr>
      </w:pPr>
    </w:p>
    <w:p>
      <w:pPr>
        <w:ind w:left="840" w:right="80" w:hanging="322"/>
        <w:spacing w:after="0" w:line="268"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investor sentiment towards climate change and other sustainability matters could adversely affect our cost of capital and the price of our common stock.</w:t>
      </w:r>
    </w:p>
    <w:p>
      <w:pPr>
        <w:spacing w:after="0" w:line="50"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similar arrangements exposes us to a number of risks, including risks of shared control.</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affected by labor relations.</w:t>
      </w:r>
    </w:p>
    <w:p>
      <w:pPr>
        <w:spacing w:after="0" w:line="95" w:lineRule="exact"/>
        <w:rPr>
          <w:rFonts w:ascii="Times New Roman" w:cs="Times New Roman" w:eastAsia="Times New Roman" w:hAnsi="Times New Roman"/>
          <w:sz w:val="18"/>
          <w:szCs w:val="18"/>
          <w:color w:val="auto"/>
        </w:rPr>
      </w:pPr>
    </w:p>
    <w:p>
      <w:pPr>
        <w:ind w:left="840" w:right="180" w:hanging="322"/>
        <w:spacing w:after="0" w:line="332" w:lineRule="auto"/>
        <w:tabs>
          <w:tab w:leader="none" w:pos="83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certain material pension and other post-retirement employment benefit ("OPEB") obligations. Future funding obligations related to these obligations could restrict cash available for our operations, capital expenditures or other requirements or require us to borrow additional funds.</w:t>
      </w:r>
    </w:p>
    <w:p>
      <w:pPr>
        <w:spacing w:after="0" w:line="4" w:lineRule="exact"/>
        <w:rPr>
          <w:rFonts w:ascii="Times New Roman" w:cs="Times New Roman" w:eastAsia="Times New Roman" w:hAnsi="Times New Roman"/>
          <w:sz w:val="16"/>
          <w:szCs w:val="16"/>
          <w:color w:val="auto"/>
        </w:rPr>
      </w:pPr>
    </w:p>
    <w:p>
      <w:pPr>
        <w:ind w:left="840" w:hanging="322"/>
        <w:spacing w:after="0" w:line="268"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execute our cost reduction plans successfully, our total operating costs may be greater than expected, which may adversely affect our profitability.</w:t>
      </w:r>
    </w:p>
    <w:p>
      <w:pPr>
        <w:spacing w:after="0" w:line="37" w:lineRule="exact"/>
        <w:rPr>
          <w:rFonts w:ascii="Times New Roman" w:cs="Times New Roman" w:eastAsia="Times New Roman" w:hAnsi="Times New Roman"/>
          <w:sz w:val="18"/>
          <w:szCs w:val="18"/>
          <w:color w:val="auto"/>
        </w:rPr>
      </w:pPr>
    </w:p>
    <w:p>
      <w:pPr>
        <w:ind w:left="840" w:right="220" w:hanging="322"/>
        <w:spacing w:after="0" w:line="268"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other long-lived assets become impaired in the future, we may be required to record non-cash charges to earnings, which could be significant.</w:t>
      </w:r>
    </w:p>
    <w:p>
      <w:pPr>
        <w:spacing w:after="0" w:line="50"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critical data and technology systems could materially affect our operations.</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and interest rates could affect our consolidated financial results.</w:t>
      </w:r>
    </w:p>
    <w:p>
      <w:pPr>
        <w:spacing w:after="0" w:line="82" w:lineRule="exact"/>
        <w:rPr>
          <w:rFonts w:ascii="Times New Roman" w:cs="Times New Roman" w:eastAsia="Times New Roman" w:hAnsi="Times New Roman"/>
          <w:sz w:val="18"/>
          <w:szCs w:val="18"/>
          <w:color w:val="auto"/>
        </w:rPr>
      </w:pPr>
    </w:p>
    <w:p>
      <w:pPr>
        <w:ind w:left="840" w:right="120" w:hanging="322"/>
        <w:spacing w:after="0" w:line="268"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property insurance has only partial coverage for acts of terrorism and, in the event of terrorist attack, we could lose net sales and our facilities. Our property, casualty and other insurance policies may be subject to coverage limitations and deductibles.</w:t>
      </w:r>
    </w:p>
    <w:p>
      <w:pPr>
        <w:spacing w:after="0" w:line="50" w:lineRule="exact"/>
        <w:rPr>
          <w:rFonts w:ascii="Times New Roman" w:cs="Times New Roman" w:eastAsia="Times New Roman" w:hAnsi="Times New Roman"/>
          <w:sz w:val="18"/>
          <w:szCs w:val="18"/>
          <w:color w:val="auto"/>
        </w:rPr>
      </w:pPr>
    </w:p>
    <w:p>
      <w:pPr>
        <w:ind w:left="840" w:right="440" w:hanging="322"/>
        <w:spacing w:after="0" w:line="268" w:lineRule="auto"/>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effects of public health crises, pandemics and epidemics could adversely affect our business,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Governmental and Regulatory Risks</w:t>
      </w:r>
    </w:p>
    <w:p>
      <w:pPr>
        <w:spacing w:after="0" w:line="98" w:lineRule="exact"/>
        <w:rPr>
          <w:sz w:val="20"/>
          <w:szCs w:val="20"/>
          <w:color w:val="auto"/>
        </w:rPr>
      </w:pPr>
    </w:p>
    <w:p>
      <w:pPr>
        <w:ind w:left="820" w:hanging="30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assets are subject to extensive environmental, health and safety laws and regulations.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regarding greenhouse gas emissions and climate-related matters.</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and regulatory claims, investigations and proceedings, some of which could be material.</w:t>
      </w:r>
    </w:p>
    <w:p>
      <w:pPr>
        <w:spacing w:after="0" w:line="95" w:lineRule="exact"/>
        <w:rPr>
          <w:rFonts w:ascii="Times New Roman" w:cs="Times New Roman" w:eastAsia="Times New Roman" w:hAnsi="Times New Roman"/>
          <w:sz w:val="18"/>
          <w:szCs w:val="18"/>
          <w:color w:val="auto"/>
        </w:rPr>
      </w:pPr>
    </w:p>
    <w:p>
      <w:pPr>
        <w:ind w:left="840" w:right="320" w:hanging="322"/>
        <w:spacing w:after="0" w:line="268" w:lineRule="auto"/>
        <w:tabs>
          <w:tab w:leader="none" w:pos="8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financial risks and liabilities associated with the implementation of and efforts to achieve our carbon emission reduction goals.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85" w:lineRule="exact"/>
        <w:rPr>
          <w:sz w:val="20"/>
          <w:szCs w:val="20"/>
          <w:color w:val="auto"/>
        </w:rPr>
      </w:pPr>
    </w:p>
    <w:p>
      <w:pPr>
        <w:ind w:left="820" w:hanging="30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could adversely affect our ability to operate our business.</w:t>
      </w:r>
    </w:p>
    <w:p>
      <w:pPr>
        <w:spacing w:after="0" w:line="95" w:lineRule="exact"/>
        <w:rPr>
          <w:rFonts w:ascii="Times New Roman" w:cs="Times New Roman" w:eastAsia="Times New Roman" w:hAnsi="Times New Roman"/>
          <w:sz w:val="18"/>
          <w:szCs w:val="18"/>
          <w:color w:val="auto"/>
        </w:rPr>
      </w:pPr>
    </w:p>
    <w:p>
      <w:pPr>
        <w:ind w:left="840" w:right="20" w:hanging="322"/>
        <w:spacing w:after="0" w:line="268" w:lineRule="auto"/>
        <w:tabs>
          <w:tab w:leader="none" w:pos="8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our indebtedness and fund our capital requirements, we will require a significant amount of cash. Our ability to generate cash depends on many factors beyond our control.</w:t>
      </w:r>
    </w:p>
    <w:p>
      <w:pPr>
        <w:spacing w:after="0" w:line="37" w:lineRule="exact"/>
        <w:rPr>
          <w:rFonts w:ascii="Times New Roman" w:cs="Times New Roman" w:eastAsia="Times New Roman" w:hAnsi="Times New Roman"/>
          <w:sz w:val="18"/>
          <w:szCs w:val="18"/>
          <w:color w:val="auto"/>
        </w:rPr>
      </w:pPr>
    </w:p>
    <w:p>
      <w:pPr>
        <w:ind w:left="840" w:right="280" w:hanging="322"/>
        <w:spacing w:after="0" w:line="268" w:lineRule="auto"/>
        <w:tabs>
          <w:tab w:leader="none" w:pos="8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and the indenture governing certain of our senior notes impose operating and financial restrictions, which may prevent us from capitalizing on business opportunities and taking certain actions.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Taxes</w:t>
      </w:r>
    </w:p>
    <w:p>
      <w:pPr>
        <w:spacing w:after="0" w:line="98" w:lineRule="exact"/>
        <w:rPr>
          <w:sz w:val="20"/>
          <w:szCs w:val="20"/>
          <w:color w:val="auto"/>
        </w:rPr>
      </w:pPr>
    </w:p>
    <w:p>
      <w:pPr>
        <w:ind w:left="840" w:right="160" w:hanging="322"/>
        <w:spacing w:after="0" w:line="268" w:lineRule="auto"/>
        <w:tabs>
          <w:tab w:leader="none" w:pos="8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effective income tax rate, including as a result of changes in tax laws, treaties or regulations, or their interpretation or application, could have a negative impact on our business and results of operations.</w:t>
      </w:r>
    </w:p>
    <w:p>
      <w:pPr>
        <w:spacing w:after="0" w:line="50" w:lineRule="exact"/>
        <w:rPr>
          <w:rFonts w:ascii="Times New Roman" w:cs="Times New Roman" w:eastAsia="Times New Roman" w:hAnsi="Times New Roman"/>
          <w:sz w:val="18"/>
          <w:szCs w:val="18"/>
          <w:color w:val="auto"/>
        </w:rPr>
      </w:pPr>
    </w:p>
    <w:p>
      <w:pPr>
        <w:ind w:left="840" w:right="40" w:hanging="322"/>
        <w:spacing w:after="0" w:line="250" w:lineRule="auto"/>
        <w:tabs>
          <w:tab w:leader="none" w:pos="8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in part on distributions from Westlake Partners to generate cash for our operations, capital expenditures, debt service and other uses. Westlake Partners' tax treatment depends on its status as a partnership for federal income tax purposes, and it not being subject to a material amount of entity-level taxation. If the Internal Revenue Service ("IRS") were to treat Westlake Partners as a corporation for federal income tax purposes, or if Westlake Partners became subject to entity-level taxation for state tax purposes, its cash available for distribution would be substantially reduced, which would also likely cause a substantial reduction in the value of its common units that we hold.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Ownership of Our Securities</w:t>
      </w:r>
    </w:p>
    <w:p>
      <w:pPr>
        <w:spacing w:after="0" w:line="98" w:lineRule="exact"/>
        <w:rPr>
          <w:sz w:val="20"/>
          <w:szCs w:val="20"/>
          <w:color w:val="auto"/>
        </w:rPr>
      </w:pPr>
    </w:p>
    <w:p>
      <w:pPr>
        <w:jc w:val="both"/>
        <w:ind w:left="840" w:right="20" w:hanging="322"/>
        <w:spacing w:after="0" w:line="255" w:lineRule="auto"/>
        <w:tabs>
          <w:tab w:leader="none" w:pos="836"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We will be controlled by our principal stockholder and its affiliates as long as they own a majority of our common stock, and our other stockholders will be unable to affect the outcome of stockholder voting during that time. Our interests may conflict with those of the principal stockholder and its affiliates, and we may not be able to resolve these conflicts on terms possible in arms-length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Business, Industry and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Cyclicality in the petrochemical industry has in the past, and may in the future, result in reduced operating margins or operating losses.</w:t>
      </w:r>
    </w:p>
    <w:p>
      <w:pPr>
        <w:spacing w:after="0" w:line="100"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historical operating results reflect the cyclical and volatile nature of the petrochemical industry. The industry is mature and capital intensive. Margins in this industry are sensitive to supply and demand balances both domestically and internationally, which historically have been cyclical. The cycles are generally characterized by periods of tight supply, leading to high operating rates and margins, followed by periods of oversupply primarily resulting from excess new capacity additions, leading to reduced operating rates and lower margins. Moreover, profitability in the petrochemical industry is affected by the worldwide level of demand along with vigorous price competition which may intensify due to, among other things, new industry capacity. In general, weak economic conditions reduce demand and put pressure on margins. It is not possible to predict accurately the supply and demand balances, market conditions and other factors that will affect industry operating margins in the future.</w:t>
      </w:r>
    </w:p>
    <w:p>
      <w:pPr>
        <w:spacing w:after="0" w:line="134" w:lineRule="exact"/>
        <w:rPr>
          <w:sz w:val="20"/>
          <w:szCs w:val="20"/>
          <w:color w:val="auto"/>
        </w:rPr>
      </w:pPr>
    </w:p>
    <w:p>
      <w:pPr>
        <w:jc w:val="both"/>
        <w:ind w:right="360" w:firstLine="395"/>
        <w:spacing w:after="0" w:line="252" w:lineRule="auto"/>
        <w:rPr>
          <w:sz w:val="20"/>
          <w:szCs w:val="20"/>
          <w:color w:val="auto"/>
        </w:rPr>
      </w:pPr>
      <w:r>
        <w:rPr>
          <w:rFonts w:ascii="Times New Roman" w:cs="Times New Roman" w:eastAsia="Times New Roman" w:hAnsi="Times New Roman"/>
          <w:sz w:val="18"/>
          <w:szCs w:val="18"/>
          <w:color w:val="auto"/>
        </w:rPr>
        <w:t>New capacity additions, principally of ethylene, polyethylene, chlorine, caustic soda and PVC in North America, Asia and the Middle East and in the epoxy value chain in Asia, a number of which have been recently completed, have led to periods of over-supply and lower profitability. Additionally, new entrants to the market, including when customers backward integrate into products we supply, can further exacerbate supply and demand imbalances. As a result, our Performance and Essential Materials ("PEM") segment operating margins may be negatively impacted.</w:t>
      </w:r>
    </w:p>
    <w:p>
      <w:pPr>
        <w:spacing w:after="0" w:line="20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Performance and Essential Materials business could suffer if commodity product exports by other countries significantly increase or are sold in global markets in violation of international fair trade laws.</w:t>
      </w:r>
    </w:p>
    <w:p>
      <w:pPr>
        <w:spacing w:after="0" w:line="46"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Our commodity products business may continue to suffer if exports by other countries significantly increase or are sold in global markets in violation of international fair trade laws. Low-priced commodity products produced in other countries, such as those in Asia, may continue to result in reduced sales of our commodity products in certain geographies and have an adverse impact on our business. For example, we recognized goodwill and/or long-lived asset impairment charges in the fourth quarter of 2023 and the fourth quarter of 2025 in connection with facility shutdowns in Europe and North America in response, in part, to lower sales volumes and prices driven by record exports of certain commodity products out of Asia into Europe and North America. An influx of such products from countries not subject to antidumping or countervailing duty orders, or sales of imported commodity products in violation of U.S. or other fair trade laws, could adversely affect our business.</w:t>
      </w:r>
    </w:p>
    <w:p>
      <w:pPr>
        <w:spacing w:after="0" w:line="134"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In April 2024, the U.S. Epoxy Resin Producers Ad Hoc Coalition (the "Coalition"), of which we are a member, filed petitions with the U.S. Department of Commerce and the U.S. International Trade Commission requesting the initiation of antidumping investigations regarding imports of certain epoxy resins from China, India, South Korea, Taiwan, and Thailand and countervailing duty investigations regarding imports of the same products from China, India, South Korea, and Taiwan. In May 2025, the U.S. Department of Commerce imposed antidumping and countervailing duty orders on imports of epoxy resins from South Korea and Taiwan and an antidumping order on imports of epoxy resins from Thailand. In June 2024, the Coalition confidentially lodged an antidumping complaint with the European Commission requesting the initiation of an antidumping investigation concerning imports of epoxy resins into the European Union market originating in China, South Korea, Taiwan and Thailand. The European Commission imposed definitive duties in late July 2025 on imports of epoxy resins from China, Taiwan, and Thailand. However, the ultimate effect of such measures is uncertain and the revocation thereof by domestic or foreign authorities could adversely affect our ability to compete in global markets.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sell most of our commodity products in highly competitive markets and face significant competition and price pressure.</w:t>
      </w:r>
    </w:p>
    <w:p>
      <w:pPr>
        <w:spacing w:after="0" w:line="87"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We sell most of our commodity products in highly competitive markets. Competition in commodity markets is based primarily on price and to a lesser extent on performance, product quality, product deliverability and customer service. As a result, we generally are not able to protect our market position for most of these products by product differentiation and may not be able to pass on cost increases to our customers. Accordingly, increases in raw material and other costs, including increased environmental regulation, may not necessarily correlate with changes in prices for these products, either in the direction of the price change or in magnitude. Specifically, timing differences in pricing between raw material prices, which may change daily, and contract product prices, which in many cases are negotiated monthly or less often, sometimes with an additional lag in effective dates for increases, have had and may continue to have a negative effect on profitability. Significant volatility in raw material costs tends to place pressure on product margins as sales price increases could lag behind raw material cost increases. Conversely, when raw material costs decrease, customers could seek relief in the form of lower sales prices. We may reduce production at or idle a facility for an extended period of time or exit a business because of high raw material prices, an oversupply of a particular product and/or a lack of demand for that particular product, which makes production uneconomical. Factors such as increases in raw material costs or lower demand may cause us to further reduce operating rates, idle facilities or exit uncompetitive businesses. Changes in competitors' production or shifts in their marketing focus have in the past significantly affected both the prices at which we sell our commodity products and the volumes that we sell, and are likely to continue to do so in the future.</w:t>
      </w:r>
    </w:p>
    <w:p>
      <w:pPr>
        <w:spacing w:after="0" w:line="225"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operate internationally and are subject to related risks, including exchange rate fluctuations, exchange controls, trade barriers, tariffs and duties, political risk and other risks relating to international operations.</w:t>
      </w:r>
    </w:p>
    <w:p>
      <w:pPr>
        <w:spacing w:after="0" w:line="46" w:lineRule="exact"/>
        <w:rPr>
          <w:sz w:val="20"/>
          <w:szCs w:val="20"/>
          <w:color w:val="auto"/>
        </w:rPr>
      </w:pPr>
    </w:p>
    <w:p>
      <w:pPr>
        <w:ind w:right="280" w:firstLine="395"/>
        <w:spacing w:after="0" w:line="250" w:lineRule="auto"/>
        <w:rPr>
          <w:sz w:val="20"/>
          <w:szCs w:val="20"/>
          <w:color w:val="auto"/>
        </w:rPr>
      </w:pPr>
      <w:r>
        <w:rPr>
          <w:rFonts w:ascii="Times New Roman" w:cs="Times New Roman" w:eastAsia="Times New Roman" w:hAnsi="Times New Roman"/>
          <w:sz w:val="18"/>
          <w:szCs w:val="18"/>
          <w:color w:val="auto"/>
        </w:rPr>
        <w:t>We operate internationally and are subject to the risks of doing business on a global basis. These risks include, but are not limited to, fluctuations in currency exchange rates, currency devaluations, inflationary pressures and possibility of recession, restrictions on the transfer of funds, changes in law and regulatory requirements, involvement in judicial proceedings in unfavorable jurisdictions, economic instability, geopolitical conflicts, including the ongoing conflicts in the Middle East and between Russia and Ukraine, supply chain disruptions, political unrest and epidemics. Our operating results could be negatively affected by any of these risks.</w:t>
      </w:r>
    </w:p>
    <w:p>
      <w:pPr>
        <w:spacing w:after="0" w:line="133"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Additionally, trade regulations, policies and disputes can and may continue to increase trade barriers, tariffs, duties or other taxes, limit our ability to sell certain products to certain customers and otherwise impact our global supply and distribution chains. In particular, our commodity PVC resins manufactured in the United States, which traditionally were exported in meaningful volumes, have recently been subject to anti-dumping investigations or duties by the relevant authorities in the European Union, United Kingdom and Brazil, resulting in recommendations or impositions of provisional or final duties on U.S. exports to each of these regions. As of December 2025, the European Union had imposed a tariff margin of 58.0%, the United Kingdom had imposed a duty of 56.01% and Brazil had imposed a duty of 43.7%. Such duties have had and may continue to have adverse effects on demand for and sales of our PVC-based products in such regions. Additionally, the higher cost for PVC resins resulting from such trade barriers may cause potential consumers to permanently switch to substitute products, further reducing demand for our PVC resins. Any increase in trade barriers could negatively impact our ability to export our products outside of the United States and increased tariffs, duties or other taxes would increase the costs of our products and reduce demand for our products outside of the United States.</w:t>
      </w:r>
    </w:p>
    <w:p>
      <w:pPr>
        <w:spacing w:after="0" w:line="142"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Changes in U.S. foreign trade policies, including changes proposed by the current presidential administration, could also lead to the imposition of additional trade barriers and tariffs or other taxes on us in foreign jurisdictions. We cannot predict what changes to trade policy will be made by the current or a future presidential administration or Congress, including whether existing tariff policies will be maintained or modified or whether the entry into new bilateral or multilateral trade agreements will occur, nor can we predict the effects that any such changes would have on our business. Changes in U.S. trade policy may also result in additional responses from U.S. trading partners, including adopting retaliatory trade policies making it more difficult or costly for us to ship, transport or export our products or import feedstocks from countries where we currently purchase feedstocks or sell products. Any such changes in U.S. trade policy or in laws and policies governing foreign trade, or the perception that they could occur, and any resulting negative sentiments towards the United States as a result, could materially and adversely affect our business, growth prospects, financial condition, results of operations and liquidity.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operations depend on the availability of raw materials, energy and utilities, and </w:t>
      </w: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b w:val="1"/>
          <w:bCs w:val="1"/>
          <w:i w:val="1"/>
          <w:iCs w:val="1"/>
          <w:color w:val="auto"/>
        </w:rPr>
        <w:t>olatility in costs of raw materials, energy and utilities may result in increased operating expenses and adversely affect our results of operations and cash flows.</w:t>
      </w:r>
    </w:p>
    <w:p>
      <w:pPr>
        <w:spacing w:after="0" w:line="33"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Our operations depend on the continued supply of raw materials and reliable energy. The availability of natural gas and electricity can be affected by numerous events such as weather (e.g., hurricanes and periods of considerable heat or cold), pipeline and other logistics interruptions, electrical grid outages, cybersecurity incidents, intermittent electricity generation, hostilities and sanctions arising from geopolitical tensions, human error, and supply and demand imbalances for raw materials and electricity. Significant variations in the costs and availability of raw materials and energy may negatively affect our results of operations. We purchase significant amounts of ethane feedstock, natural gas, ethylene and salt to produce several basic chemicals. We also purchase significant amounts of electricity to supply the energy required in our production processes. The cost of these raw materials and energy, in the aggregate, represents a substantial portion of our operating expenses. The prices of raw materials and energy generally follow price trends of, and vary with market conditions for, crude oil and natural gas, which are highly volatile and cyclical, as well as the ability of domestic producers to export natural gas liquids, ethane and ethylene. Changes to regulatory policies applicable to the German energy sector for industrial users have contributed to higher prices for industrial users of energy in the past and may continue to do so in the future. Our results of operations have been and could in the future be significantly affected by increases in these costs.</w:t>
      </w:r>
    </w:p>
    <w:p>
      <w:pPr>
        <w:spacing w:after="0" w:line="109"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Price increases increase our working capital needs and, accordingly, can adversely affect our liquidity and cash flows. In addition, because we utilize the first-in, first-out ("FIFO") method of inventory accounting, during periods of falling raw material prices and declining sales prices, our results of operations for a particular reporting period could be negatively impacted as the lower sales prices would be reflected in operating income more quickly than the corresponding drop in feedstock costs. We use derivative instruments (including commodity swaps and options) from time to time in an attempt to reduce price volatility risk on some feedstock commodities. In the future, we may decide not to hedge any of our raw material costs or any hedges we enter into may not have successful results. Also, our hedging activities involve credit risk associated with our hedging counterparties, and a deterioration in the financial markets could adversely affect our hedging counterparties and their abilities to fulfill their obligations to us.</w:t>
      </w:r>
    </w:p>
    <w:p>
      <w:pPr>
        <w:spacing w:after="0" w:line="134"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Lower prices of crude oil, such as those experienced from the third quarter of 2014 through 2020, led to a reduction in the cost advantage for natural gas liquids-based ethylene crackers in North America, such as ours, as compared to naphtha-based ethylene crackers. As a result, our margins and cash flows were negatively impacted. Lower crude oil and natural gas prices could lead to a reduction in hydraulic fracturing in the United States, which could reduce the availability of feedstock and increase prices of feedstock for our operations. Lower crude oil and natural gas prices could result from, among other things, increased exports from producers in Venezuela, Russia or the Middle East following resolution of conflicts or political instability in such regions. Higher natural gas prices could also adversely affect our ability to export products that we produce in the United States. In addition to the impact that this has on our exports from the United States, reduced competitiveness of U.S. producers also has in the past increased the availability of chemicals in North America, as U.S. production that would otherwise have been sold overseas was instead offered for sale domestically, resulting in excess supply and lower prices in North America. We could also face the threat of imported products from countries that have a cost advantage. Furthermore, additional export storage facilities for natural gas liquids, ethane and ethylene may lead to higher exports of such products from the United States and greater restrictions on hydraulic fracturing could restrict the availability of our raw materials in the United States, thereby increasing our costs.</w:t>
      </w:r>
    </w:p>
    <w:p>
      <w:pPr>
        <w:spacing w:after="0" w:line="22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climate-related risks such as hurricanes or other weather events that may adversely affect our results of operations and cash flows.</w:t>
      </w:r>
    </w:p>
    <w:p>
      <w:pPr>
        <w:spacing w:after="0" w:line="4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are subject to increasing climate-related risks and uncertainties, many of which are outside of our control. Climate change may result in more frequent severe weather events, potential changes in precipitation patterns, flooding, sea level rise, wildfires and variability in weather patterns, which can disrupt our operations as well as those of our customers, partners and suppliers. Climate change may result in heightened hurricane activity in the Gulf of Mexico and other weather and natural disaster hazards that pose a risk to our facilities, particularly those in Louisiana. Such events could materially and adversely affect our results of operations and cash flows.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External factors beyond our control can cause fluctuations in demand for our products and in our prices and margins, which may negatively affect our results of operations and cash flows.</w:t>
      </w:r>
    </w:p>
    <w:p>
      <w:pPr>
        <w:spacing w:after="0" w:line="33"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External factors beyond our control can cause volatility in raw material prices, demand for our products, product prices and volumes and deterioration in operating margins. These factors can also magnify the impact of economic cycles on our business and results of operations. Examples of external factors include:</w:t>
      </w:r>
    </w:p>
    <w:p>
      <w:pPr>
        <w:spacing w:after="0" w:line="61" w:lineRule="exact"/>
        <w:rPr>
          <w:sz w:val="20"/>
          <w:szCs w:val="20"/>
          <w:color w:val="auto"/>
        </w:rPr>
      </w:pPr>
    </w:p>
    <w:p>
      <w:pPr>
        <w:ind w:left="840" w:right="540" w:hanging="322"/>
        <w:spacing w:after="0" w:line="268" w:lineRule="auto"/>
        <w:tabs>
          <w:tab w:leader="none" w:pos="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 North America, Europe and Asia, including inflation, high interest rates and possible recession;</w:t>
      </w:r>
    </w:p>
    <w:p>
      <w:pPr>
        <w:spacing w:after="0" w:line="50"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capacity additions in North America, Europe, Asia and the Middle East;</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business activity in the industries that use our products;</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action;</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including the transition to lower greenhouse gas emissions technology;</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constraints and workforce availability;</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events and circumstances;</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other public health threats and efforts to contain their transmission;</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sabotage, terrorism and civil unrest, including the conflicts between Russia and Ukraine and in the Middle East;</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including in the United States, Europe and Asia;</w:t>
      </w:r>
    </w:p>
    <w:p>
      <w:pPr>
        <w:spacing w:after="0" w:line="82"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 towards climate change and safety, health and the environment;</w:t>
      </w:r>
    </w:p>
    <w:p>
      <w:pPr>
        <w:spacing w:after="0" w:line="95" w:lineRule="exact"/>
        <w:rPr>
          <w:rFonts w:ascii="Times New Roman" w:cs="Times New Roman" w:eastAsia="Times New Roman" w:hAnsi="Times New Roman"/>
          <w:sz w:val="18"/>
          <w:szCs w:val="18"/>
          <w:color w:val="auto"/>
        </w:rPr>
      </w:pPr>
    </w:p>
    <w:p>
      <w:pPr>
        <w:ind w:left="840" w:right="540" w:hanging="322"/>
        <w:spacing w:after="0" w:line="268" w:lineRule="auto"/>
        <w:tabs>
          <w:tab w:leader="none" w:pos="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our products by potential customers, as well as the public generally, and related changes in behavior, including with respect to recycling;</w:t>
      </w:r>
    </w:p>
    <w:p>
      <w:pPr>
        <w:spacing w:after="0" w:line="50" w:lineRule="exact"/>
        <w:rPr>
          <w:rFonts w:ascii="Times New Roman" w:cs="Times New Roman" w:eastAsia="Times New Roman" w:hAnsi="Times New Roman"/>
          <w:sz w:val="18"/>
          <w:szCs w:val="18"/>
          <w:color w:val="auto"/>
        </w:rPr>
      </w:pPr>
    </w:p>
    <w:p>
      <w:pPr>
        <w:ind w:left="840" w:right="120" w:hanging="322"/>
        <w:spacing w:after="0" w:line="268" w:lineRule="auto"/>
        <w:tabs>
          <w:tab w:leader="none" w:pos="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and natural disasters and the long-term impacts of climate change, including rising sea levels and changes in weather patterns, such as drought and flooding; and</w:t>
      </w:r>
    </w:p>
    <w:p>
      <w:pPr>
        <w:spacing w:after="0" w:line="37"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cyclicality and competition in the businesses of our end-use customers;</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 vendors and business partners.</w:t>
      </w:r>
    </w:p>
    <w:p>
      <w:pPr>
        <w:spacing w:after="0" w:line="16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Temporary outages as a result of the above factors sometimes last for several quarters or, in certain cases, longer, and cause us to incur costs, including the expenses of maintaining and restarting these facilities.</w:t>
      </w:r>
    </w:p>
    <w:p>
      <w:pPr>
        <w:spacing w:after="0" w:line="19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North American housing market may remain depressed or decline further, and any such continuation or decline in the homebuilding industry may adversely affect our operating results.</w:t>
      </w:r>
    </w:p>
    <w:p>
      <w:pPr>
        <w:spacing w:after="0" w:line="46" w:lineRule="exact"/>
        <w:rPr>
          <w:sz w:val="20"/>
          <w:szCs w:val="20"/>
          <w:color w:val="auto"/>
        </w:rPr>
      </w:pPr>
    </w:p>
    <w:p>
      <w:pPr>
        <w:ind w:right="20" w:firstLine="395"/>
        <w:spacing w:after="0" w:line="245" w:lineRule="auto"/>
        <w:rPr>
          <w:sz w:val="20"/>
          <w:szCs w:val="20"/>
          <w:color w:val="auto"/>
        </w:rPr>
      </w:pPr>
      <w:r>
        <w:rPr>
          <w:rFonts w:ascii="Times New Roman" w:cs="Times New Roman" w:eastAsia="Times New Roman" w:hAnsi="Times New Roman"/>
          <w:sz w:val="18"/>
          <w:szCs w:val="18"/>
          <w:color w:val="auto"/>
        </w:rPr>
        <w:t>A number of our HIP products are highly dependent on durable goods markets, such as housing and construction, which are themselves particularly cyclical. Weakness in the North American residential housing market and economic weakness in North America, Europe, Asia and the Middle East could have an adverse effect on demand and margins for such products. We cannot predict whether and to what extent the housing market in North America will grow, particularly if interest rates for mortgage loans remain elevated or rise. New home construction, home renovations and repair and remodel activity are historical demand drivers for many products in our Housing and Infrastructure Products business. The demand for home construction, renovations and remodeling continued to decline throughout 2025 primarily due to inflationary pricing, high interest rates for mortgage loans, elevated construction costs and the impacts of tariffs on lumber and other raw materials imported into the United States. Other factors that might impact the homebuilding industry include uncertainty in domestic and international financial, credit and consumer lending markets amid slow economic growth or recessionary conditions in various regions or industries around the world, including as a result of the conflicts in the Middle East and between Russia and Ukraine, tight lending standards and practices for mortgage loans that limit consumers' ability to qualify for mortgage financing to purchase a home, higher home prices, reliance on inadequately capitalized builders and sub-contractors, population declines, unfavorable changes in consumer demographics or preferences, adverse weather conditions, shortages of skilled labor or qualified tradesmen, slower rates of population growth and U.S. Federal Reserve policy changes. These factors could cause consumers to delay or decline to pursue home ownership, make consumers more price conscious, make consumers more reluctant to invest in their existing homes or cause them to delay investments, including repair and remodel projects, or make it more difficult for consumers to conduct major home renovations, which could have an adverse effect on our financial condition, results of operations or cash flows, including, but not limited to, the amount of revenues or profits we generate in our Housing and Infrastructure Products segment.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compete successfully may reduce our operating profits.</w:t>
      </w:r>
    </w:p>
    <w:p>
      <w:pPr>
        <w:spacing w:after="0" w:line="87"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industries in which we operate are highly competitive. Historically, there have been a number of mergers, acquisitions, spin-offs and joint ventures in the industries in which the PEM and HIP businesses operate. This restructuring and consolidation activity has resulted in fewer but more competitive PEM and HIP producers, many of which are larger than we are and have greater financial resources than we do. Among our PEM competitors are some of the world's largest chemical companies and chemical industry joint ventures.</w:t>
      </w:r>
    </w:p>
    <w:p>
      <w:pPr>
        <w:spacing w:after="0" w:line="13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Changes in the competitive environment could have a material adverse effect on our business and our operations. These changes could include the emergence of new domestic and international competitors, the rate of capacity additions by competitors, changes in the cost or availability of raw materials and utilities, the additions of export storage facilities for natural gas liquids, ethane and ethylene, changes in customer base due to mergers or customer plant closures, the intensification of price competition in our markets, the introduction of new or substitute products by competitors and the technological innovations of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production facilities process some volatile and hazardous materials that subject us to operating risks that could adversely affect our operating results.</w:t>
      </w:r>
    </w:p>
    <w:p>
      <w:pPr>
        <w:spacing w:after="0" w:line="123" w:lineRule="exact"/>
        <w:rPr>
          <w:sz w:val="20"/>
          <w:szCs w:val="20"/>
          <w:color w:val="auto"/>
        </w:rPr>
      </w:pPr>
    </w:p>
    <w:p>
      <w:pPr>
        <w:ind w:right="260" w:firstLine="395"/>
        <w:spacing w:after="0" w:line="284" w:lineRule="auto"/>
        <w:rPr>
          <w:sz w:val="20"/>
          <w:szCs w:val="20"/>
          <w:color w:val="auto"/>
        </w:rPr>
      </w:pPr>
      <w:r>
        <w:rPr>
          <w:rFonts w:ascii="Times New Roman" w:cs="Times New Roman" w:eastAsia="Times New Roman" w:hAnsi="Times New Roman"/>
          <w:sz w:val="16"/>
          <w:szCs w:val="16"/>
          <w:color w:val="auto"/>
        </w:rPr>
        <w:t>We have manufacturing sites in North America, Europe and Asia. Our operations are subject to the usual hazards associated with chemical, plastics, housing and infrastructure products manufacturing and the related use, storage, transportation and disposal of feedstocks, products and wastes, and litigation arising as a result of such hazards, including, among other things, pipeline leaks and ruptures, explosions, fires, severe weather and natural disasters, mechanical failure, transportation accidents involving our products, remediation complications, chemical spills, discharges or releases of toxic or hazardous substances or gases, sabotage and terrorist attacks. All of these hazards can cause personal injury and loss of life, catastrophic damage to or destruction of property and equipment and environmental damage, and may result in a suspension of operations and the imposition of civil or criminal penalties. A loss or shutdown over an extended period of operations at any one of our chemical manufacturing facilities would have a material adverse effect on us.</w:t>
      </w:r>
    </w:p>
    <w:p>
      <w:pPr>
        <w:spacing w:after="0" w:line="108"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color w:val="auto"/>
        </w:rPr>
        <w:t>We maintain property, business interruption and casualty insurance that we believe is in accordance with customary industry practices, but we cannot be fully insured against all potential hazards incident to our business, including losses resulting from wars or terrorist acts, among other things. In addition, certain policies may be subject to coverage limitations, which may affect the extent of any recovery thereunder. As a result of market conditions and past claims, premiums and deductibles for certain insurance policies have increased and may continue to increase substantially and, in some instances, certain insurance may become unavailable or available only for reduced amounts of coverage. If we were to incur a significant liability for which we were not fully insured, or if an insurer was unwilling or unable to meet its obligations, it could have a material adverse effect on our financial condition, results of operations or cash flows.</w:t>
      </w:r>
    </w:p>
    <w:p>
      <w:pPr>
        <w:spacing w:after="0" w:line="106"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134"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are also exposed to significant risks from products liability, personal injury and other claims relating to the products we manufacture. Additionally, individuals currently seek, and likely will continue to seek, damages for alleged personal injury or property damage due to alleged exposure to chemicals at our facilities or to chemicals otherwise owned, controlled or manufactured by us. We are also subject to present and future claims with respect to workplace exposure, workers' compensation and other matters. Any such claims, whether with or without merit, could be time consuming, expensive to defend and could divert management's attention and resources. The results of any future litigation or claims are inherently unpredictable, but such outcomes could have a material adverse effect on our financial condition, results of operations or cash flows.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outside suppliers for specified feedstocks and services.</w:t>
      </w:r>
    </w:p>
    <w:p>
      <w:pPr>
        <w:spacing w:after="0" w:line="87"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We obtain a significant portion of our raw materials from a few key suppliers. If any of these suppliers is unable to meet its obligations under any present or future supply agreements, we may be forced to pay higher prices to obtain the necessary raw materials. Any interruption of supply or any price increase of raw materials could have a material adverse effect on our business and results of operations. A vendor may choose, subject to existing contracts, to modify its relationship due to general economic concerns or concerns relating to the vendor or us, at any time. Any significant change in the terms that we have with our key suppliers, or any significant additional requirements from our suppliers that we provide them additional security in the form of prepayments or with letters of credits, could materially adversely affect our financial condition, results of operations or cash flows.</w:t>
      </w:r>
    </w:p>
    <w:p>
      <w:pPr>
        <w:spacing w:after="0" w:line="221"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third party transportation, which subjects us to risks and costs that we cannot control. Such risks and costs may materially adversely affect our operations.</w:t>
      </w:r>
    </w:p>
    <w:p>
      <w:pPr>
        <w:spacing w:after="0" w:line="46" w:lineRule="exact"/>
        <w:rPr>
          <w:sz w:val="20"/>
          <w:szCs w:val="20"/>
          <w:color w:val="auto"/>
        </w:rPr>
      </w:pPr>
    </w:p>
    <w:p>
      <w:pPr>
        <w:ind w:right="40" w:firstLine="395"/>
        <w:spacing w:after="0" w:line="282" w:lineRule="auto"/>
        <w:rPr>
          <w:sz w:val="20"/>
          <w:szCs w:val="20"/>
          <w:color w:val="auto"/>
        </w:rPr>
      </w:pPr>
      <w:r>
        <w:rPr>
          <w:rFonts w:ascii="Times New Roman" w:cs="Times New Roman" w:eastAsia="Times New Roman" w:hAnsi="Times New Roman"/>
          <w:sz w:val="16"/>
          <w:szCs w:val="16"/>
          <w:color w:val="auto"/>
        </w:rPr>
        <w:t>We rely heavily on railroads, barges, pipelines, ships, trucks and other shipping companies to transport raw materials to the manufacturing facilities used by our businesses and to ship finished products to customers. These transport operations are subject to various hazards and risks, including extreme weather conditions, work stoppages and operating hazards (including pipeline leaks and ruptures and storage tank leaks), as well as interstate transportation regulations. In addition, the methods of transportation we utilize, including shipping chlorine and other chemicals by railroad, may be subject to additional, more stringent and more costly regulations in the future. If we are delayed or unable to ship finished products or unable to obtain raw materials as a result of any such new regulations or public policy changes related to transportation safety, or these transportation companies fail to operate properly, or if there were significant changes in the cost of these services due to new or additional regulations, or otherwise, we may not be able to arrange efficient alternatives and timely means to obtain raw materials or ship goods, which could result in a material adverse effect on our business and results of operations.</w:t>
      </w:r>
    </w:p>
    <w:p>
      <w:pPr>
        <w:spacing w:after="0" w:line="188"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dispositions, joint ventures or other transactions that may impact our results of operations and financial condition. We may have difficulties integrating the operations of acquired businesses, such as ACI, and future acquired businesses.</w:t>
      </w:r>
    </w:p>
    <w:p>
      <w:pPr>
        <w:spacing w:after="0" w:line="46"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 seek opportunities to maximize efficiency and create stockholder value through various transactions. These transactions may include domestic and international business combinations, such as the recently completed acquisition of ACI, purchases or sales of assets or contractual arrangements or joint ventures. In this regard, we regularly consider acquisition opportunities that would be consistent or complementary to our existing business strategies and, from time to time, we consider dispositions of non-strategic assets or the temporary or permanent cessation of operations at existing facilities. To the extent permitted under our credit facility, the indenture governing our senior notes and other debt agreements, some of these transactions may be financed by additional borrowings by us. Such transactions could adversely affect our results of operations in the short term because of the costs associated with such transactions and because they may divert management's attention from existing business operations. Integration of acquired operations could lead to restructuring charges or other costs.</w:t>
      </w:r>
    </w:p>
    <w:p>
      <w:pPr>
        <w:spacing w:after="0" w:line="138" w:lineRule="exact"/>
        <w:rPr>
          <w:sz w:val="20"/>
          <w:szCs w:val="20"/>
          <w:color w:val="auto"/>
        </w:rPr>
      </w:pPr>
    </w:p>
    <w:p>
      <w:pPr>
        <w:ind w:right="120" w:firstLine="395"/>
        <w:spacing w:after="0" w:line="248" w:lineRule="auto"/>
        <w:rPr>
          <w:sz w:val="20"/>
          <w:szCs w:val="20"/>
          <w:color w:val="auto"/>
        </w:rPr>
      </w:pPr>
      <w:r>
        <w:rPr>
          <w:rFonts w:ascii="Times New Roman" w:cs="Times New Roman" w:eastAsia="Times New Roman" w:hAnsi="Times New Roman"/>
          <w:sz w:val="18"/>
          <w:szCs w:val="18"/>
          <w:color w:val="auto"/>
        </w:rPr>
        <w:t>Additionally, acquisitions or dispositions may not yield the business benefits, synergies or financial benefits anticipated by management. Our ability to realize the anticipated benefits of acquisitions will depend, to a large extent, on our ability to integrate our business with the acquired businesses. The integration of independent businesses is a complex, costly and time-consuming process that may disrupt the businesses and, if implemented ineffectively, we may not realize the anticipated benefits of the acquisitions. In addition, the overall integration of the businesses may result in material unanticipated problems, expenses, liabilities, competitive responses, loss of customer relationships, loss of key employees or diversion of management's attention. Even if the operations of our businesses acquired are integrated successfully, we may not realize the full benefits of the acquisitions, including the synergies, cost savings or sales or growth opportunities that we expect. These benefits may not be achieved within the anticipated time frame, or at all.</w:t>
      </w:r>
    </w:p>
    <w:p>
      <w:pPr>
        <w:spacing w:after="0" w:line="134"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If we are unable to integrate or to successfully manage businesses that we may acquire in the future, or if we are unable to realize the operating efficiencies, synergies, cost savings or other benefits expected from acquisitions, our business, financial condition and results of operations could be adversely affected.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Capital projects are subject to risks, including delays and cost overruns, which could have an adverse impact on our financial condition and results of operations.</w:t>
      </w:r>
    </w:p>
    <w:p>
      <w:pPr>
        <w:spacing w:after="0" w:line="3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From time to time we undertake capital expansion projects at certain of our facilities. Expansion projects may be subject to delays or cost overruns, including delays or cost overruns resulting from shortages of or delays in receiving key equipment, parts or materials; shortages of skilled labor and other personnel necessary to perform the work; delays and performance issues; failures or delays of third-party vendors or service providers; increases in the cost of equipment, labor and raw materials; work stoppages and other labor disputes; unanticipated actual or purported change orders; disputes with contractors and suppliers; design and engineering problems; latent damages or deterioration to equipment and machinery in excess of engineering estimates and assumptions; financial or other difficulties of our contractors and suppliers; sabotage; adverse weather conditions; and difficulties in obtaining necessary permits or in meeting permit conditions. Significant cost overruns or delays could cause actual capital expenditures to materially exceed our planned capital expenditures and materially affect our financial condition and results of operations.</w:t>
      </w:r>
    </w:p>
    <w:p>
      <w:pPr>
        <w:spacing w:after="0" w:line="226"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Public and investor sentiment towards climate change and other sustainability matters could adversely affect our cost of capital and the price of our common stock.</w:t>
      </w:r>
    </w:p>
    <w:p>
      <w:pPr>
        <w:spacing w:after="0" w:line="46" w:lineRule="exact"/>
        <w:rPr>
          <w:sz w:val="20"/>
          <w:szCs w:val="20"/>
          <w:color w:val="auto"/>
        </w:rPr>
      </w:pPr>
    </w:p>
    <w:p>
      <w:pPr>
        <w:ind w:right="40" w:firstLine="395"/>
        <w:spacing w:after="0" w:line="281" w:lineRule="auto"/>
        <w:rPr>
          <w:sz w:val="20"/>
          <w:szCs w:val="20"/>
          <w:color w:val="auto"/>
        </w:rPr>
      </w:pPr>
      <w:r>
        <w:rPr>
          <w:rFonts w:ascii="Times New Roman" w:cs="Times New Roman" w:eastAsia="Times New Roman" w:hAnsi="Times New Roman"/>
          <w:sz w:val="16"/>
          <w:szCs w:val="16"/>
          <w:color w:val="auto"/>
        </w:rPr>
        <w:t>There have been efforts within the investment community to promote the divestment of, or limit investment in, the stock of companies in the petrochemical industry. There has also been pressure on lenders and other financial services companies to limit or curtail financing of companies in the industry. Because we operate within the petrochemical industry, if these efforts continue or expand, our stock price and our ability to raise capital may be negatively impacted. Additionally, certain members of the investment community have also increased their focus on sustainability practices and disclosures by public companies, including practices and disclosures related to climate change, as well as D&amp;I initiatives and heightened governance standards. Additionally, members of the investment community may screen companies such as ours for sustainability disclosures and performance before investing in our stock. There has also been an increase in investor demand for investment opportunities in sustainability-focused companies, and many large institutional investors have committed to increasing the percentage of their portfolios that are allocated towards investments in companies with a commitment towards sustainability. If our sustainability disclosures and efforts do not meet the standards or investment criteria set by these investors and funds, investors may allocate all or a portion of their capital away from us, our cost of capital may increase, and our stock price may be negatively impacted.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joint ventures and similar arrangements exposes us to a number of risks, including risks of shared control.</w:t>
      </w:r>
    </w:p>
    <w:p>
      <w:pPr>
        <w:spacing w:after="0" w:line="100"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color w:val="auto"/>
        </w:rPr>
        <w:t>We are party to several joint ventures and similar arrangements, including an investment, together with Lotte Chemical USA Corporation, in a joint venture, LACC, LLC ("LACC"), to operate an ethylene facility. Certain of our joint ventures require us to share control with unaffiliated third parties. If there are differences in views among joint venture participants in how to operate a joint venture, or our joint venture partners do not cooperate with us, the affected joint venture may not be able to operate according to its business plan and fulfill its obligations. In that case, we may be required to write down the value of our investment, increase the level of financial or other commitments to the joint venture or, if we have contractual agreements with the joint venture, our operations may be adversely affected. Any of the foregoing could have a material adverse effect on our financial condition, results of operations or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affected by labor relations.</w:t>
      </w:r>
    </w:p>
    <w:p>
      <w:pPr>
        <w:spacing w:after="0" w:line="87"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vast majority of our employees in Europe and Asia, and some of our employees in North America, are represented by labor unions and works councils. Our operations may be adversely affected by strikes, work stoppages and other labor disputes. For example, in the past we have experienced strikes at certain of our facilities in connection with the negotiation of collective bargaining agreements. Any future strikes or work stoppages could be significant and have an adverse effect on our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0"/>
        <w:spacing w:after="0" w:line="328" w:lineRule="auto"/>
        <w:rPr>
          <w:sz w:val="20"/>
          <w:szCs w:val="20"/>
          <w:color w:val="auto"/>
        </w:rPr>
      </w:pPr>
      <w:r>
        <w:rPr>
          <w:rFonts w:ascii="Times New Roman" w:cs="Times New Roman" w:eastAsia="Times New Roman" w:hAnsi="Times New Roman"/>
          <w:sz w:val="16"/>
          <w:szCs w:val="16"/>
          <w:b w:val="1"/>
          <w:bCs w:val="1"/>
          <w:i w:val="1"/>
          <w:iCs w:val="1"/>
          <w:color w:val="auto"/>
        </w:rPr>
        <w:t>We have certain material pension and other post-retirement employment benefit ("OPEB") obligations. Future funding obligations related to these obligations could restrict cash available for our operations, capital expenditures or other requirements or require us to borrow additional funds</w:t>
      </w:r>
      <w:r>
        <w:rPr>
          <w:rFonts w:ascii="Times New Roman" w:cs="Times New Roman" w:eastAsia="Times New Roman" w:hAnsi="Times New Roman"/>
          <w:sz w:val="16"/>
          <w:szCs w:val="16"/>
          <w:b w:val="1"/>
          <w:bCs w:val="1"/>
          <w:color w:val="auto"/>
        </w:rPr>
        <w:t>.</w:t>
      </w:r>
    </w:p>
    <w:p>
      <w:pPr>
        <w:spacing w:after="0" w:line="1"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We have U.S. and non-U.S. defined benefit pension plans covering certain current and former employees. Certain non-U.S. defined benefit plans associated with our European operations have not been funded and we are not obligated to fund those plans under applicable law. As of December 31, 2025, the projected benefit obligations for our pension and OPEB plans were $868 million and $37 million, respectively. The fair value of pension investment assets was $672 million as of December 31, 2025. The total net underfunded status of the pension obligations calculated on a projected benefit obligation basis as of December 31, 2025 was $196 million, including the Vinnolit Pension Plan (locally known as "Grund- und Zusatzversorgung" in Germany) and Epoxy Pension Plan (PSR and Non-PSR), which were underfunded by $129 million and $97 million, respectively, on an individual plan basis. The unfunded OPEB obligations as of December 31, 2025 were $37 million. We will require future operating cash flows to fund our pension and OPEB obligations, which could restrict available cash for our operations, capital expenditures and other requirements. We may not generate sufficient cash to satisfy these obligations, which could require us to seek funding from other sources, including through additional borrowings, which could materially increase our outstanding debt or debt service requirements.</w:t>
      </w:r>
    </w:p>
    <w:p>
      <w:pPr>
        <w:spacing w:after="0" w:line="230"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execute our cost reduction plans successfully, our total operating costs may be greater than expected, which may adversely affect our profitability.</w:t>
      </w:r>
    </w:p>
    <w:p>
      <w:pPr>
        <w:spacing w:after="0" w:line="46" w:lineRule="exact"/>
        <w:rPr>
          <w:sz w:val="20"/>
          <w:szCs w:val="20"/>
          <w:color w:val="auto"/>
        </w:rPr>
      </w:pPr>
    </w:p>
    <w:p>
      <w:pPr>
        <w:ind w:right="180" w:firstLine="395"/>
        <w:spacing w:after="0" w:line="247" w:lineRule="auto"/>
        <w:rPr>
          <w:sz w:val="20"/>
          <w:szCs w:val="20"/>
          <w:color w:val="auto"/>
        </w:rPr>
      </w:pPr>
      <w:r>
        <w:rPr>
          <w:rFonts w:ascii="Times New Roman" w:cs="Times New Roman" w:eastAsia="Times New Roman" w:hAnsi="Times New Roman"/>
          <w:sz w:val="18"/>
          <w:szCs w:val="18"/>
          <w:color w:val="auto"/>
        </w:rPr>
        <w:t>Our PEM business has experienced and may continue to experience adverse market conditions, pricing pressures and significant competition from low-cost producers outside of the United States. In response, we have announced plans that include a number of cost saving measures, including plans to close certain of our production facilities. For example, in June 2025, we ceased operation of the units at our site in Pernis, the Netherlands, and in December 2025, we closed certain of our North American chlorovinyl production assets located in Louisiana and Mississippi and our styrene production plant located in Louisiana. Should adverse market conditions, pricing pressures or significant competition persist, we may in the future seek additional cost saving measures, including closing additional production facilities. While we continue to search for opportunities to reduce our costs and expenses to improve operating profitability, our success in achieving targeted cost and expense reductions depends upon a number of factors such as timing of execution, market condition, and regulatory and local requirements and approvals. If we do not successfully execute on our cost reduction initiatives or if we experience delays in completing the implementation of these initiatives, our results of operations or financial condition could be adversely affected.</w:t>
      </w:r>
    </w:p>
    <w:p>
      <w:pPr>
        <w:spacing w:after="0" w:line="136"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Our cost-saving initiatives, including rationalizing our businesses, closing plants and reducing headcount have been and will continue to be complex, time-consuming and expensive. For example, the cessation of operations at our facilities has, and may in the future result in, environmental remediation, employee separation and other expenses. Although we have implemented initiatives to reduce costs, there is no assurance that our efforts will yield all of the anticipated benefits.</w:t>
      </w:r>
    </w:p>
    <w:p>
      <w:pPr>
        <w:spacing w:after="0" w:line="206"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our goodwill or other long-lived assets become impaired in the future, we may be required to record non-cash charges to earnings, which could be significant.</w:t>
      </w:r>
    </w:p>
    <w:p>
      <w:pPr>
        <w:spacing w:after="0" w:line="46"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balance sheet includes significant goodwill and long-lived assets. We periodically review goodwill and long-lived assets for impairment in accordance with accounting principles generally accepted in the United States ("GAAP") and record charges for impairment if events or circumstances indicate that their carrying amount may not be recoverable. For example, in the third quarter of 2025, we performed impairment assessments for our North American Chlorovinyls asset group and the reporting units within the PEM and HIP segments, which resulted in a non-cash goodwill impairment charge of $727 million taken in the third quarter of 2025, representing all of the goodwill associated with the North American Chlorovinyls reporting unit.</w:t>
      </w:r>
    </w:p>
    <w:p>
      <w:pPr>
        <w:spacing w:after="0" w:line="13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process of impairment testing for our goodwill and long-lived assets involves a number of judgments and estimates made by management including the fair values of assets and liabilities, future cash flows, our interpretation of current economic indicators and market conditions, overall economic conditions and our strategic operational plans with regards to our business units. If the judgments and estimates used in our analysis are not realized or change due to future external factors, then actual results may not be consistent with these judgments and estimates, and our goodwill and other long-lived assets may become further impaired in future periods, which could have an adverse effect on our financial condition and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critical data and technology systems could materially affect our operations.</w:t>
      </w:r>
    </w:p>
    <w:p>
      <w:pPr>
        <w:spacing w:after="0" w:line="87"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We are increasingly dependent on digital technologies and services to conduct our business. We use these technologies for internal and operational purposes, including data storage, processing, and transmission, as well as in our interactions with our business associates, such as customers and suppliers. Information technology system failures, network disruptions and breaches of data security due to internal or external factors, including cyber-attacks, could have material adverse impacts on our business or cause disruptions to our operations. Such disruptions could include, but are not limited to, delaying or cancelling customer orders, impeding the manufacture or shipment of products or causing standard business processes to become ineffective, or the unintentional or malicious disclosure of proprietary, confidential or other sensitive information. Cyber-attacks could also lead to unauthorized release, corruption or loss of data including protected information such as personal information of our employees, interruptions in communication, loss of our intellectual property or theft of our sensitive or proprietary technology, loss or damage to our data delivery systems or other information technology systems, diversion of management or work force attention, or increased costs required to prevent, respond to or mitigate the incident. We rely on our business associates with whom we may share data and digital services to defend their digital technologies, systems and services against cyber-attack. As a result, there is a risk that a cyber incident could originate from our business associates, as well.</w:t>
      </w:r>
    </w:p>
    <w:p>
      <w:pPr>
        <w:spacing w:after="0" w:line="140"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have experienced cyber incidents in the past and, although none have been material, we may experience cybersecurity incidents and security breaches in the future. Our employees, systems, networks, products, facilities and services remain potentially vulnerable to sophisticated cyber-assault, including the additional cybersecurity risks posed by the increased use of remote networking technologies and services, and, as such, there can be no assurance that a system failure, network disruption or data security breach will not have a material adverse effect on our business, financial condition, operating results or cash flows. In addition, laws and regulations governing cybersecurity, data privacy, and the unauthorized disclosure of confidential or protected information pose increasingly complex compliance challenges, and failure to comply with these laws could result in penalties and legal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affect our consolidated financial results.</w:t>
      </w:r>
    </w:p>
    <w:p>
      <w:pPr>
        <w:spacing w:after="0" w:line="10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 earn revenues, pay expenses, own assets and incur liabilities in countries using currencies other than the U.S. dollar. Because our consolidated financial statements are presented in U.S. dollars, we must translate revenues and expenses into U.S. dollars at the average exchange rate during each reporting period, as well as assets and liabilities into U.S. dollars at exchange rates in effect at the end of each reporting period. Therefore, increases or decreases in the value of the U.S. dollar against other major currencies will affect our net sales, operating income and the value of balance sheet items denominated in foreign currencies. Because of the geographic diversity of our operations, weaknesses in various currencies might occur in one or many of such currencies over time. From time to time, we may use derivative financial instruments to further reduce our net exposure to currency exchange rate fluctuations. However, fluctuations in foreign currency exchange rates, such as the strengthening of the U.S. dollar against major currencies, including, in particular, the Euro and the Canadian dollar, could nevertheless materially adversely affect our financial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property insurance has only partial coverage for acts of terrorism and, in the event of terrorist attack, we could lose net sales and our facilities.</w:t>
      </w:r>
    </w:p>
    <w:p>
      <w:pPr>
        <w:spacing w:after="0" w:line="100" w:lineRule="exact"/>
        <w:rPr>
          <w:sz w:val="20"/>
          <w:szCs w:val="20"/>
          <w:color w:val="auto"/>
        </w:rPr>
      </w:pPr>
    </w:p>
    <w:p>
      <w:pPr>
        <w:ind w:right="160" w:firstLine="395"/>
        <w:spacing w:after="0" w:line="289" w:lineRule="auto"/>
        <w:rPr>
          <w:sz w:val="20"/>
          <w:szCs w:val="20"/>
          <w:color w:val="auto"/>
        </w:rPr>
      </w:pPr>
      <w:r>
        <w:rPr>
          <w:rFonts w:ascii="Times New Roman" w:cs="Times New Roman" w:eastAsia="Times New Roman" w:hAnsi="Times New Roman"/>
          <w:sz w:val="16"/>
          <w:szCs w:val="16"/>
          <w:color w:val="auto"/>
        </w:rPr>
        <w:t>Our insurance carriers generally maintain policy exclusions for losses from terrorism from our property insurance policies. While separate terrorism insurance coverage is available, premiums for full coverage are very expensive, especially for chemical facilities, and the policies are subject to high deductibles. Accordingly, we have determined that it is not economically prudent to obtain full terrorism insurance. In the event of a terrorist attack impacting one or more of our facilities, we could lose the net sales from the facilities and the facilities themselves, and could become liable for any contamination or for personal or property damage due to exposure to hazardous materials caused by any catastrophic release that may result from a terrorist attack.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impact and effects of public health crises, pandemics and epidemics could adversely affect our business, financial condition and results of operations.</w:t>
      </w:r>
    </w:p>
    <w:p>
      <w:pPr>
        <w:spacing w:after="0" w:line="11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Public health crises, pandemics and epidemics, such as the COVID-19 pandemic, could materially adversely affect our business, financial condition and results of operations. Such events have resulted in and could again result in authorities implementing numerous measures to try to contain the disease, such as travel bans and restrictions, quarantines, shelter-in-place orders and shutdowns, among others. Such events have had and could again have widespread adverse impacts on the global economy, many of our facilities and on our employees, customers and suppliers, such as supply chain constraints and disruptions and workforce availability issues.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Governmental and Regulatory Risks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extensive environmental, health and safety laws and regulations.</w:t>
      </w:r>
    </w:p>
    <w:p>
      <w:pPr>
        <w:spacing w:after="0" w:line="100"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We use large quantities of hazardous substances and generate hazardous wastes and emissions in our manufacturing operations. Due to the associated quantities of hazardous substances and wastes, our industry is highly regulated and monitored by various environmental regulatory authorities such as the EPA, federal or state analogs in other countries and the European Union, among others. As such, we are subject to extensive international, national, state and local laws, regulations and directives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regulations and directives are subject to varying and conflicting interpretations. Many of these laws, regulations and directives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New laws, rules and regulations as well as changes to laws, rules and regulations may also affect us.</w:t>
      </w:r>
    </w:p>
    <w:p>
      <w:pPr>
        <w:spacing w:after="0" w:line="114"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The EPA has promulgated maximum achievable control technology standards for major sources and generally available control technology standards for area sources of PVC production, which establishes emission limits and work practice standards for total organic air toxics and for three specific air toxics: vinyl chloride, chlorinated di-benzo dioxins and furans and hydrogen chloride and includes requirements to demonstrate initial and continuous compliance with the emission standards. Additionally, in July 2024, the EPA adopted amendments to new source performance standards for the synthetic organic chemical manufacturing industry and amendments to the national emissions standards for hazardous air pollutants for the synthetic organic chemical manufacturing industry and group I &amp; II polymers and resins industry. These amendments, among other things, impose tougher emissions limits, additional leak detection and repair obligations, certain performance standard for the operation of flares at applicable facilities, and new fenceline air monitoring for several chemicals. The rules and amendments may require us to incur further capital expenditures and increase operating costs.</w:t>
      </w:r>
    </w:p>
    <w:p>
      <w:pPr>
        <w:spacing w:after="0" w:line="13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On May 6, 2022, the EPA finalized rules amending (i) the NESHAPs for mercury emissions from mercury cell chlor-alkali plants and (ii) the 2003 NESHAPs for mercury cell chlor-alkali plants residual risk and technology review. Among other things, the amendments include a requirement to cease all mercury emissions from the operation of mercury cell chlor-alkali facilities by May 6, 2025. As a result, we ceased operations of a mercury cell production unit at our Natrium facility in May 2025 and expect to continue incurring decommissioning and demolition costs in 2026.</w:t>
      </w:r>
    </w:p>
    <w:p>
      <w:pPr>
        <w:spacing w:after="0" w:line="131"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Toxic Substances Control Act ("TSCA") imposes reporting, record-keeping and testing requirements, and restrictions relating to the production, handling, and use of chemical substances. Under the TSCA, the EPA has designated certain of the chemical substances that we manufacture as high priority for risk evaluation. In December 2024, the EPA designated vinyl chloride as a High Priority Substance and is undertaking risk evaluation under the TSCA. In December 2019, the EPA designated EDC as a High Priority Substance and on November 19, 2025, the EPA published its draft risk evaluation for EDC for public comment. In December 2024, the EPA issued a final rule which phases out the manufacturing, processing and distribution of trichloroethylene (TCE) completely and perchloroethylene (PCE) for consumer and most industrial and commercial uses. The TCE rule, however, has been stayed by the Fifth and Third Circuit Courts of Appeal and, as a result, the EPA has postponed effective dates for certain portions of the TCE rule, with the most recent effective date postponed until February 17, 2026. In addition, the TSCA inventory reset rule requires U.S. chemical manufacturers and processors to notify and obtain approval from the EPA before reintroducing inactive chemicals into commerce. We cannot predict the effects of these actions, or their ultimate cost to or impact on us.</w:t>
      </w:r>
    </w:p>
    <w:p>
      <w:pPr>
        <w:spacing w:after="0" w:line="142" w:lineRule="exact"/>
        <w:rPr>
          <w:sz w:val="20"/>
          <w:szCs w:val="20"/>
          <w:color w:val="auto"/>
        </w:rPr>
      </w:pPr>
    </w:p>
    <w:p>
      <w:pPr>
        <w:ind w:right="160" w:firstLine="395"/>
        <w:spacing w:after="0" w:line="246" w:lineRule="auto"/>
        <w:rPr>
          <w:sz w:val="20"/>
          <w:szCs w:val="20"/>
          <w:color w:val="auto"/>
        </w:rPr>
      </w:pPr>
      <w:r>
        <w:rPr>
          <w:rFonts w:ascii="Times New Roman" w:cs="Times New Roman" w:eastAsia="Times New Roman" w:hAnsi="Times New Roman"/>
          <w:sz w:val="18"/>
          <w:szCs w:val="18"/>
          <w:color w:val="auto"/>
        </w:rPr>
        <w:t>Per- and Polyfluoroalkyl Substances ("PFAS") chemicals have come under increased scrutiny by federal, state, and local governments. The EPA has adopted rules under the TSCA that require manufacturers and importers that have manufactured or imported PFAS chemicals since January 1, 2011 to electronically report information regarding PFAS uses, production volumes, disposal, exposures, and hazards. In April 2024, the EPA finalized the listing of perfluorooctanoic acid ("PFOA") and perfluorooctane sulfonic acid ("PFOS") as CERCLA hazardous substances and announced its final National Primary Drinking Water Regulation ("NPDWR") under the Safe Drinking Water Act for six PFAS, including PFOA, PFOS, perfluorononanoic acid (PFNA), hexafluoropropylene oxide dimer acid (HFPO-DA, commonly known as GenX Chemicals), perfluorohexane sulfonic acid (PFHxS), and perfluorobutane sulfonic acid (PFBS). On May 14, 2025, the EPA announced it would keep the current NPDWR for PFOA and PFOS, extend the PFOA and PFOS Maximum Contaminant Level compliance deadlines, establish a federal exemption framework, rescind the regulations and reconsider the regulatory determinations for PFHxS, PFNA, HFPO-DA, and PFBS, and take other related measures. We are unable to predict the impact these requirements and restrictions may have on our future costs of compliance.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Under the Industrial Emission Directive ("IED"), European Union member state governments are expected to adopt rules and implement environmental permitting programs relating to air, water and waste for industrial facilities. In this context, concepts such as the "best available technique" are being explored. Future implementation of these concepts may result in technical modifications in our European facilities. In addition, under the Environmental Liability Directive, EU member states can require the remediation of soil and groundwater contamination in certain circumstances, under the "polluter pays" principle. The European Chemicals Agency ("ECHA") has sent its investigation results of the risks from PVC and PVC additives to the European Commission for further consideration of regulatory action. The ECHA has also published proposed restrictions on PFAS. We are unable to predict the impact these proposals and concepts may have on our future costs of compliance.</w:t>
      </w:r>
    </w:p>
    <w:p>
      <w:pPr>
        <w:spacing w:after="0" w:line="13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Local, state, federal and foreign governments have increasingly proposed or implemented restrictions on certain plastic-based products, including single-use plastics and plastic food packaging. Plastics have also faced increased public scrutiny due to negative coverage of plastic waste in the environment. In April 2024, the EPA published a final denial of the 2014 Center for Biological Diversity Petition to regulate discarded PVC as hazardous waste under the Resource Conservation and Recovery Act. Increased regulation on the use of plastics could cause reduced demand for our polyethylene and PVC products, which could adversely affect our business, operating results and financial condition.</w:t>
      </w:r>
    </w:p>
    <w:p>
      <w:pPr>
        <w:spacing w:after="0" w:line="133"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Environmental laws may also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similar state laws and certain European directives impose joint and several liability for the costs of remedial investigations and actions on the entities that generated waste, arranged for disposal of the waste, transported to or selected the disposal sites, and the past and present owners and operators of such sites. All such potentially responsible parties (or any one of them, including us) may be required to bear all of such costs regardless of fault, legality of the original disposal or ownership of the disposal site. In addition, CERCLA, similar state laws and certain European directives could impose liability for damages to natural resources caused by contamination.</w:t>
      </w:r>
    </w:p>
    <w:p>
      <w:pPr>
        <w:spacing w:after="0" w:line="138"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These laws and regulations or future new, amended or proposed laws and regulations could increase our costs, reduce our production or reduce demand for our products, which could have a material adverse effect on our business, financial condition, operating results or cash flows. In addition, we cannot accurately predict future developments, such as increasingly strict environmental and safety laws or regulations, and inspection and enforcement policies, as well as resulting higher compliance costs, which might affect the handling, manufacture, use, emission, disposal or remediation of products, other materials or hazardous and non-hazardous waste, and we cannot predict with certainty the extent of our future liabilities and costs under environmental, health and safety laws and regulations. These liabilities and costs may be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regarding greenhouse gas emissions and climate-related matters.</w:t>
      </w:r>
    </w:p>
    <w:p>
      <w:pPr>
        <w:spacing w:after="0" w:line="87"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Our operations produce greenhouse gas ("GHG") emissions, which have been the subject of increased global scrutiny and regulation. For example, in February 2021, the United States formally rejoined the international Paris Agreement and announced that it would commit to a 50 to 52 percent reduction from 2005 levels of GHG emissions by 2030 and set the goal of reaching net-zero GHG emissions by 2050. In January 2025, the United States submitted formal notification to the United Nations regarding its intention to again withdraw from the Paris Agreement. Pursuant to the terms of the Paris Agreement, the withdrawal took effect in January 2026. Legislation to regulate GHG emissions has periodically been introduced in the United States Congress, and such legislation may be proposed or adopted in the future. There has been a wide-ranging policy debate regarding the impact of these gases and possible means for their regulation. Some of the proposals would require industries to meet stringent new standards that would require substantial reductions in carbon emissions. The adoption and implementation of any international, federal or state legislation or regulations that restrict emissions of GHGs could result in increased compliance costs or additional operating restrictions.</w:t>
      </w:r>
    </w:p>
    <w:p>
      <w:pPr>
        <w:spacing w:after="0" w:line="136"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GHG emissions. On July 29, 2025, EPA released a pre-publication proposed rule which would rescind EPA's 2009 final rule under the Clean Air Act finding that GHGs endanger the public health and welfare of current and future generations ("Endangerment Finding") and that emissions of GHGs from new motor vehicles contribute to GHG pollution that threatens the public health and welfare. On September 16, 2025, the EPA announced a proposal to end the Greenhouse Gas Reporting Program ("GHGRP") for all sectors except petroleum and natural gas systems (excluding reporting for natural gas distribution, which would also be eliminated under the proposal).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firstLine="395"/>
        <w:spacing w:after="0" w:line="280" w:lineRule="auto"/>
        <w:rPr>
          <w:sz w:val="20"/>
          <w:szCs w:val="20"/>
          <w:color w:val="auto"/>
        </w:rPr>
      </w:pPr>
      <w:r>
        <w:rPr>
          <w:rFonts w:ascii="Times New Roman" w:cs="Times New Roman" w:eastAsia="Times New Roman" w:hAnsi="Times New Roman"/>
          <w:sz w:val="16"/>
          <w:szCs w:val="16"/>
          <w:color w:val="auto"/>
        </w:rPr>
        <w:t>Many governments have also proposed or adopted regulations that impose disclosure obligations with respect to various climate-related matters and other sustainability-related matters. For example, in March 2024, the SEC adopted sweeping disclosure obligations with respect to GHG emissions reporting, which are currently stayed pending litigation. In addition, in October 2023, California adopted a host of broad and far-reaching climate-related disclosure obligations, including with respect to GHG emissions, climate-related financial-risk reporting, and statements regarding GHG emissions reductions. Canada and the European Union ("EU") have also passed laws requiring various disclosures related to various environmental, climate, social, supply chain, human rights, and other sustainability-related matters. These include, among others, the EU's Corporate Sustainability Reporting Directive ("CSRD") and its Corporate Sustainability Due Diligence Directive ("CSDDD"). The CSDDD requires EU Member States to transpose its obligations into national law by July 2028, and such transposed law could result in additional risks to our business operations and our financial position, including through potential enforcement actions, which could include potential fines up to multiple percentage points of worldwide revenue in accordance with the Directive's provisions Negotiations and further proposals may continue, contributing to substantial uncertainty regarding the final scope of applicability and obligations. As our chemical manufacturing processes result in GHG emissions, these and other GHG laws and regulations could increase our costs of doing business.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and regulatory claims, investigations and proceedings, some of which could be material.</w:t>
      </w:r>
    </w:p>
    <w:p>
      <w:pPr>
        <w:spacing w:after="0" w:line="87" w:lineRule="exact"/>
        <w:rPr>
          <w:sz w:val="20"/>
          <w:szCs w:val="20"/>
          <w:color w:val="auto"/>
        </w:rPr>
      </w:pPr>
    </w:p>
    <w:p>
      <w:pPr>
        <w:ind w:right="120" w:firstLine="395"/>
        <w:spacing w:after="0" w:line="248" w:lineRule="auto"/>
        <w:rPr>
          <w:sz w:val="20"/>
          <w:szCs w:val="20"/>
          <w:color w:val="auto"/>
        </w:rPr>
      </w:pPr>
      <w:r>
        <w:rPr>
          <w:rFonts w:ascii="Times New Roman" w:cs="Times New Roman" w:eastAsia="Times New Roman" w:hAnsi="Times New Roman"/>
          <w:sz w:val="18"/>
          <w:szCs w:val="18"/>
          <w:color w:val="auto"/>
        </w:rPr>
        <w:t>We are subject to legal and regulatory claims, investigations and proceedings and could become subject to additional claims, investigations and proceedings in the future, some of which could be material. These proceedings may be brought by the government or private parties and may arise out of a number of matters, including contract disputes, environmental claims, property disputes, product liability claims, antitrust claims and personal injury claims. Even if we are ultimately successful, defense of these claims can be costly and time-consuming and may divert management's attention and resources. The outcome of any pending or future claims, investigations or proceedings is inherently unpredictable, but such outcomes could have a material adverse effect on our financial condition, results of operations or cash flows. Please refer to Note 21, "Commitments and Contingencies," within audited Consolidated Financial Statements in this Form 10-K for additional information with respect to pending legal and regulatory proceedings.</w:t>
      </w:r>
    </w:p>
    <w:p>
      <w:pPr>
        <w:spacing w:after="0" w:line="22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operational and financial risks and liabilities associated with the implementation of and efforts to achieve our carbon emission reduction goals.</w:t>
      </w:r>
    </w:p>
    <w:p>
      <w:pPr>
        <w:ind w:firstLine="395"/>
        <w:spacing w:after="0" w:line="258" w:lineRule="auto"/>
        <w:rPr>
          <w:sz w:val="20"/>
          <w:szCs w:val="20"/>
          <w:color w:val="auto"/>
        </w:rPr>
      </w:pPr>
      <w:r>
        <w:rPr>
          <w:rFonts w:ascii="Times New Roman" w:cs="Times New Roman" w:eastAsia="Times New Roman" w:hAnsi="Times New Roman"/>
          <w:sz w:val="17"/>
          <w:szCs w:val="17"/>
          <w:color w:val="auto"/>
        </w:rPr>
        <w:t>In November 2024, we announced that we successfully met our publicly disclosed target to reduce our Scope 1 and Scope 2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 xml:space="preserve"> equivalent emissions intensity per ton of production by 20% from a 2016 baseline. Having reached our initial 2030 emissions target, we announced a new target to further reduce our Scope 1 and Scope 2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 xml:space="preserve"> equivalent emissions intensity per ton of production by an additional 5% by 2030, using a 2024 baseline. Our ability to achieve this target depends on many factors, many of which are beyond our control. Our selection of methodology and disclosure frameworks that seek to align with various reporting standards may change from time to time and may result in a lack of comparative data from period to period. In addition, our processes, controls and calculation methodology may not always align with evolving standards for identifying, measuring and reporting GHG emissions, which could result in significant revisions to our goals or reported progress in achieving such goals. We believe that our expected allocation of growth capital into lower-carbon projects is consistent with such targets; however, our analysis and plan for execution requires us to make a number of assumptions. Should one or more of our underlying assumptions prove incorrect, our actual results and ability to achieve our GHG emissions reduction goal could differ materially from our expectations. Developing and implementing plans for compliance with voluntary climate commitments can lead to additional capital, personnel, operations and maintenance expenditures and could significantly affect the economic position of existing facilities and proposed projects. Our failure or perceived failure to pursue or fulfill our sustainability-focused goals, targets and objectives within the timelines we announce, or at all, could adversely affect our business or reputation, as well as expose us to potential government enforcement actions and private litigation. We cannot predict the ultimate impact that our emissions reduction goal, or the various implementation aspects, will have on our financial condition and results of operations.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debt could adversely affect our ability to operate our business.</w:t>
      </w:r>
    </w:p>
    <w:p>
      <w:pPr>
        <w:spacing w:after="0" w:line="100" w:lineRule="exact"/>
        <w:rPr>
          <w:sz w:val="20"/>
          <w:szCs w:val="20"/>
          <w:color w:val="auto"/>
        </w:rPr>
      </w:pPr>
    </w:p>
    <w:p>
      <w:pPr>
        <w:ind w:right="40" w:firstLine="395"/>
        <w:spacing w:after="0" w:line="303" w:lineRule="auto"/>
        <w:rPr>
          <w:sz w:val="20"/>
          <w:szCs w:val="20"/>
          <w:color w:val="auto"/>
        </w:rPr>
      </w:pPr>
      <w:r>
        <w:rPr>
          <w:rFonts w:ascii="Times New Roman" w:cs="Times New Roman" w:eastAsia="Times New Roman" w:hAnsi="Times New Roman"/>
          <w:sz w:val="16"/>
          <w:szCs w:val="16"/>
          <w:color w:val="auto"/>
        </w:rPr>
        <w:t>As of December 31, 2025, our indebtedness, including the current portion, totaled $5.6 billion, and our debt represented approximately 37.5% of our total capitalization. Our annual interest expense for 2025 was $171 million, net of interest capitalized of $10 million. Our level of debt and the limitations imposed on us by our existing or future debt agreements could have significant consequences on our business and future prospects, including the following:</w:t>
      </w:r>
    </w:p>
    <w:p>
      <w:pPr>
        <w:spacing w:after="0" w:line="27" w:lineRule="exact"/>
        <w:rPr>
          <w:sz w:val="20"/>
          <w:szCs w:val="20"/>
          <w:color w:val="auto"/>
        </w:rPr>
      </w:pPr>
    </w:p>
    <w:p>
      <w:pPr>
        <w:ind w:left="840" w:right="40" w:hanging="322"/>
        <w:spacing w:after="0" w:line="268" w:lineRule="auto"/>
        <w:tabs>
          <w:tab w:leader="none" w:pos="8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flows from operations will be dedicated to the payment of interest and principal on our debt and will not be available for other purposes;</w:t>
      </w:r>
    </w:p>
    <w:p>
      <w:pPr>
        <w:spacing w:after="0" w:line="37" w:lineRule="exact"/>
        <w:rPr>
          <w:rFonts w:ascii="Times New Roman" w:cs="Times New Roman" w:eastAsia="Times New Roman" w:hAnsi="Times New Roman"/>
          <w:sz w:val="18"/>
          <w:szCs w:val="18"/>
          <w:color w:val="auto"/>
        </w:rPr>
      </w:pPr>
    </w:p>
    <w:p>
      <w:pPr>
        <w:ind w:left="840" w:right="140" w:hanging="322"/>
        <w:spacing w:after="0" w:line="268" w:lineRule="auto"/>
        <w:tabs>
          <w:tab w:leader="none" w:pos="8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necessary financing in the future for working capital, capital expenditures, acquisitions, debt service requirements or other purposes;</w:t>
      </w:r>
    </w:p>
    <w:p>
      <w:pPr>
        <w:spacing w:after="0" w:line="50" w:lineRule="exact"/>
        <w:rPr>
          <w:rFonts w:ascii="Times New Roman" w:cs="Times New Roman" w:eastAsia="Times New Roman" w:hAnsi="Times New Roman"/>
          <w:sz w:val="18"/>
          <w:szCs w:val="18"/>
          <w:color w:val="auto"/>
        </w:rPr>
      </w:pPr>
    </w:p>
    <w:p>
      <w:pPr>
        <w:ind w:left="840" w:right="120" w:hanging="322"/>
        <w:spacing w:after="0" w:line="268" w:lineRule="auto"/>
        <w:tabs>
          <w:tab w:leader="none" w:pos="8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less leveraged competitors could have a competitive advantage because they have greater flexibility to utilize their cash flows to improve their operations;</w:t>
      </w:r>
    </w:p>
    <w:p>
      <w:pPr>
        <w:spacing w:after="0" w:line="50" w:lineRule="exact"/>
        <w:rPr>
          <w:rFonts w:ascii="Times New Roman" w:cs="Times New Roman" w:eastAsia="Times New Roman" w:hAnsi="Times New Roman"/>
          <w:sz w:val="18"/>
          <w:szCs w:val="18"/>
          <w:color w:val="auto"/>
        </w:rPr>
      </w:pPr>
    </w:p>
    <w:p>
      <w:pPr>
        <w:ind w:left="840" w:hanging="322"/>
        <w:spacing w:after="0" w:line="268" w:lineRule="auto"/>
        <w:tabs>
          <w:tab w:leader="none" w:pos="8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risks inherent in interest rate fluctuations because some of our borrowings are at variable rates of interest, which would result in higher interest expense in the event of increases in interest rates;</w:t>
      </w:r>
    </w:p>
    <w:p>
      <w:pPr>
        <w:spacing w:after="0" w:line="37" w:lineRule="exact"/>
        <w:rPr>
          <w:rFonts w:ascii="Times New Roman" w:cs="Times New Roman" w:eastAsia="Times New Roman" w:hAnsi="Times New Roman"/>
          <w:sz w:val="18"/>
          <w:szCs w:val="18"/>
          <w:color w:val="auto"/>
        </w:rPr>
      </w:pPr>
    </w:p>
    <w:p>
      <w:pPr>
        <w:ind w:left="840" w:right="840" w:hanging="322"/>
        <w:spacing w:after="0" w:line="268" w:lineRule="auto"/>
        <w:tabs>
          <w:tab w:leader="none" w:pos="8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vulnerable in the event of a downturn in our business that would leave us less able to take advantage of significant business opportunities and to react to changes in our business and in market or industry conditions; and</w:t>
      </w:r>
    </w:p>
    <w:p>
      <w:pPr>
        <w:spacing w:after="0" w:line="50" w:lineRule="exact"/>
        <w:rPr>
          <w:rFonts w:ascii="Times New Roman" w:cs="Times New Roman" w:eastAsia="Times New Roman" w:hAnsi="Times New Roman"/>
          <w:sz w:val="18"/>
          <w:szCs w:val="18"/>
          <w:color w:val="auto"/>
        </w:rPr>
      </w:pPr>
    </w:p>
    <w:p>
      <w:pPr>
        <w:ind w:left="840" w:right="240" w:hanging="322"/>
        <w:spacing w:after="0" w:line="268" w:lineRule="auto"/>
        <w:tabs>
          <w:tab w:leader="none" w:pos="8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pursue additional expansions of existing assets or acquisition of third-party assets, we may not be able to obtain additional liquidity at cost effective interest rates.</w:t>
      </w:r>
    </w:p>
    <w:p>
      <w:pPr>
        <w:spacing w:after="0" w:line="117"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When appropriate, we may use derivative financial instruments to reduce our exposure to interest rate risks. However, our financial risk management program may not be successful in reducing the risks inherent in exposures to interest rate fluctuations.</w:t>
      </w:r>
    </w:p>
    <w:p>
      <w:pPr>
        <w:spacing w:after="0" w:line="20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and fund our capital requirements, we will require a significant amount of cash. Our ability to generate cash depends on many factors beyond our control.</w:t>
      </w:r>
    </w:p>
    <w:p>
      <w:pPr>
        <w:spacing w:after="0" w:line="33"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planned capital expenditures and pay cash dividends will depend on our ability to generate cash in the future, including any distributions that we may receive from Westlake Partners. This is subject to general economic, financial, currency, competitive, legislative, regulatory and other factors that are beyond our control.</w:t>
      </w:r>
    </w:p>
    <w:p>
      <w:pPr>
        <w:spacing w:after="0" w:line="127" w:lineRule="exact"/>
        <w:rPr>
          <w:sz w:val="20"/>
          <w:szCs w:val="20"/>
          <w:color w:val="auto"/>
        </w:rPr>
      </w:pPr>
    </w:p>
    <w:p>
      <w:pPr>
        <w:ind w:right="100" w:firstLine="395"/>
        <w:spacing w:after="0" w:line="289" w:lineRule="auto"/>
        <w:rPr>
          <w:sz w:val="20"/>
          <w:szCs w:val="20"/>
          <w:color w:val="auto"/>
        </w:rPr>
      </w:pPr>
      <w:r>
        <w:rPr>
          <w:rFonts w:ascii="Times New Roman" w:cs="Times New Roman" w:eastAsia="Times New Roman" w:hAnsi="Times New Roman"/>
          <w:sz w:val="16"/>
          <w:szCs w:val="16"/>
          <w:color w:val="auto"/>
        </w:rPr>
        <w:t>Our business may not generate sufficient cash flows from operations, we may not receive sufficient distributions from Westlake Partners, and currently anticipated cost savings and operating improvements may not be realized on schedule. We also generate revenues denominated in currencies other than that of our indebtedness and may have difficulty converting those revenues into the currency of our indebtedness. We may need to refinance all or a portion of our indebtedness on or before maturity. In addition, we may not be able to refinance any of our indebtedness, including our credit facility and our senior notes, on commercially reasonable terms or at all. All of these factors could be magnified if we were to finance any future acquisitions with significant amounts of debt.</w:t>
      </w:r>
    </w:p>
    <w:p>
      <w:pPr>
        <w:spacing w:after="0" w:line="191"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and the indenture governing certain of our senior notes impose operating and financial restrictions, which may prevent us from capitalizing on business opportunities and taking certain actions.</w:t>
      </w:r>
    </w:p>
    <w:p>
      <w:pPr>
        <w:spacing w:after="0" w:line="46"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The Credit Agreement and the indenture governing certain of our senior notes impose operating and financial restrictions on us, including restrictions that limit our ability to incur additional indebtedness, create liens, sell all or substantially all of our assets or consolidate or merge with or into other companies and engage in sale-leaseback transactions. The Credit Agreement also requires us to maintain a quarterly total leverage ratio.</w:t>
      </w:r>
    </w:p>
    <w:p>
      <w:pPr>
        <w:spacing w:after="0" w:line="127"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These covenants may adversely affect our ability to finance future business opportunities or acquisitions. A breach of any of these covenants could result in a default in respect of the related debt. If a default occurred, the relevant lenders could elect to declare the debt, together with accrued interest and other fees, to be immediately due and payable. In addition, any acceleration of debt under the Credit Agreement will constitute a default under some of our other debt, including the indentures governing our senior notes.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81"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 change in our effective income tax rate, including as a result of changes in tax laws, treaties or regulations, or their interpretation or application, could have a negative impact on our business and results of operations.</w:t>
      </w:r>
    </w:p>
    <w:p>
      <w:pPr>
        <w:spacing w:after="0" w:line="46"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We operate in many different countries and in many states within the United States. Various factors may have favorable or unfavorable effects on our effective income tax rate, changes in tax rates, changes in apportionment rates, future levels of research and development spending, changes in accounting standards, changes in the mix of earnings in the various tax jurisdictions in which we operate, the outcome of examinations by the IRS and other tax authorities, the accuracy of our estimates for unrecognized tax benefits and realization of deferred tax assets and changes in overall levels of pre-tax earnings.</w:t>
      </w:r>
    </w:p>
    <w:p>
      <w:pPr>
        <w:spacing w:after="0" w:line="102"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We are also subject to changes in applicable tax laws, treaties or regulations, or their interpretation or application, in the jurisdictions in which we operate. For example, on August 16, 2022, the Inflation Reduction Act of 2022 (the "IRA") was signed into law. The IRA contains several revisions to the Internal Revenue Code of 1986, as amended (the "Code"), including a 15% corporate minimum income tax for certain corporations and a 1% excise tax on stock repurchases made by publicly traded U.S. corporations. Additionally, on December 4, 2024, the Governor of Louisiana signed into law a package of tax reform bills, effective January 1, 2025 and January 1, 2026. Among other things, the laws reduce the corporate state income tax rate, repeal the corporate state franchise tax, and eliminate preferential apportionment treatment for companies with sales and inventory in foreign trade zones. The Company will continue to evaluate the impact of these and other tax law changes. A change in tax laws, treaties or regulations, or their interpretation or application, of any state or</w:t>
      </w:r>
    </w:p>
    <w:p>
      <w:pPr>
        <w:spacing w:after="0" w:line="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country in which we operate could result in a higher tax expense or effective tax rate on our earnings, which could result in a significant negative impact on our business, results of operations and cash flow from operations.</w:t>
      </w:r>
    </w:p>
    <w:p>
      <w:pPr>
        <w:spacing w:after="0" w:line="20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distributions from Westlake Partners to generate cash for our operations, capital expenditures, debt service and other uses. Westlake Partners' tax treatment depends on its status as a partnership for federal income tax purposes, and it not being subject to a material amount of entity-level taxation. If the IRS were to treat Westlake Partners as a corporation for federal income tax purposes, or if Westlake Partners became subject to entity-level taxation for state tax purposes, its cash available for distribution would be substantially reduced, which would also likely cause a substantial reduction in the value of its common units that we hold.</w:t>
      </w:r>
    </w:p>
    <w:p>
      <w:pPr>
        <w:spacing w:after="0" w:line="53"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The anticipated after-tax economic benefit of our investment in the common units of Westlake Partners depends largely on Westlake Partners being treated as a partnership for U.S. federal income tax purposes. Despite the fact that Westlake Partners is organized as a limited partnership under Delaware law, it would be treated as a corporation for U.S. federal income tax purposes unless it satisfies a "qualifying income" requirement. Based on Westlake Partners' current operations and current Treasury Regulations, Westlake Partners believes it satisfies the qualifying income requirement.</w:t>
      </w:r>
    </w:p>
    <w:p>
      <w:pPr>
        <w:spacing w:after="0" w:line="131" w:lineRule="exact"/>
        <w:rPr>
          <w:sz w:val="20"/>
          <w:szCs w:val="20"/>
          <w:color w:val="auto"/>
        </w:rPr>
      </w:pPr>
    </w:p>
    <w:p>
      <w:pPr>
        <w:ind w:right="100" w:firstLine="395"/>
        <w:spacing w:after="0" w:line="289" w:lineRule="auto"/>
        <w:rPr>
          <w:sz w:val="20"/>
          <w:szCs w:val="20"/>
          <w:color w:val="auto"/>
        </w:rPr>
      </w:pPr>
      <w:r>
        <w:rPr>
          <w:rFonts w:ascii="Times New Roman" w:cs="Times New Roman" w:eastAsia="Times New Roman" w:hAnsi="Times New Roman"/>
          <w:sz w:val="16"/>
          <w:szCs w:val="16"/>
          <w:color w:val="auto"/>
        </w:rPr>
        <w:t>Prior to its initial public offering, Westlake Partners requested and obtained a favorable private letter ruling from the IRS to the effect that, based on facts presented in the private letter ruling request, income from the production, transportation, storage and marketing of ethylene and its co-products constitutes "qualifying income" within the meaning of Section 7704 of the Code. However, no ruling has been or will be requested regarding Westlake Partners' treatment as a partnership for U.S. federal income tax purposes. Failing to meet the qualifying income requirement or a change in current law could cause Westlake Partners to be treated as a corporation for U.S. federal income tax purposes or otherwise subject Westlake Partners to taxation as an entity.</w:t>
      </w:r>
    </w:p>
    <w:p>
      <w:pPr>
        <w:spacing w:after="0" w:line="103"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If Westlake Partners were treated as a corporation for federal income tax purposes, it would pay U.S. federal income tax on its taxable income at the corporate tax rate. Because a tax would be imposed upon Westlake Partners as a corporation, its cash available for distribution to its unitholders would be substantially reduced. Therefore, treatment of Westlake Partners as a corporation would result in a material reduction in the anticipated cash flow and after-tax return to its unitholders, likely causing a substantial reduction in the value of its common units.</w:t>
      </w:r>
    </w:p>
    <w:p>
      <w:pPr>
        <w:spacing w:after="0" w:line="13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Westlake Partners' partnership agreement provides that if a law is enacted or an existing law is modified or interpreted in a manner that subjects Westlake Partners to taxation as a corporation or otherwise subjects Westlake Partners to entity-level taxation for U.S. federal, state, local or foreign income tax purposes, the minimum quarterly distribution amount and the target distribution amounts may be adjusted to reflect the impact of that law or interpretation on Westlake Partners. At the state level, several states have been evaluating ways to subject partnerships to entity-level taxation through the imposition of state income, franchise or other forms of taxation. Westlake Partners currently owns assets and conducts business in several states, most of which impose entity-level franchise or gross receipt taxes on partnerships. Imposition of similar entity-level taxes on Westlake Partners in other jurisdictions in which Westlake Partners conducts operations in the future could substantially reduce its cash available for distribution.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Securities</w:t>
      </w:r>
    </w:p>
    <w:p>
      <w:pPr>
        <w:spacing w:after="0" w:line="8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will be controlled by our principal stockholder and its affiliates as long as they own a majority of our common stock, and our other stockholders will be unable to affect the outcome of stockholder voting during that time. Our interests may conflict with those of the principal stockholder and its affiliates, and we may not be able to resolve these conflicts on terms possible in arms-length transactions.</w:t>
      </w:r>
    </w:p>
    <w:p>
      <w:pPr>
        <w:spacing w:after="0" w:line="60"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color w:val="auto"/>
        </w:rPr>
        <w:t>As long as TTWF LP (the "principal stockholder") and certain of its affiliates (such affiliates, together with the principal stockholder, the "principal stockholder affiliates"), which as of December 31, 2025, beneficially owned approximately 72% of our common stock, own a majority of our outstanding common stock, they will be able to exert significant control over us, and our other stockholders, by themselves, will not be able to affect the outcome of any stockholder vote. As a result, the principal stockholder, subject to any fiduciary duty owed to our minority stockholders under Delaware law, will be able to control all matters affecting us (some of which may present conflicts of interest), including:</w:t>
      </w:r>
    </w:p>
    <w:p>
      <w:pPr>
        <w:spacing w:after="0" w:line="67" w:lineRule="exact"/>
        <w:rPr>
          <w:sz w:val="20"/>
          <w:szCs w:val="20"/>
          <w:color w:val="auto"/>
        </w:rPr>
      </w:pPr>
    </w:p>
    <w:p>
      <w:pPr>
        <w:ind w:left="840" w:right="120" w:hanging="322"/>
        <w:spacing w:after="0" w:line="268" w:lineRule="auto"/>
        <w:tabs>
          <w:tab w:leader="none" w:pos="8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 and, through the Board, any determination with respect to our business direction and policies, including the appointment and removal of officers and the determination of compensation;</w:t>
      </w:r>
    </w:p>
    <w:p>
      <w:pPr>
        <w:spacing w:after="0" w:line="37"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or other business combinations or the acquisition or disposition of assets;</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decisions, capital raising activities and the payment of dividends; and</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restated certificate of incorporation or amended and restated bylaws.</w:t>
      </w:r>
    </w:p>
    <w:p>
      <w:pPr>
        <w:spacing w:after="0" w:line="16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principal stockholder will be permitted to transfer a controlling interest in us without being required to offer our other stockholders the ability to participate or realize a premium for their shares of common stock. A sale of a controlling interest to a third party may adversely affect the market price of our common stock and our business and results of operations because the change in control may result in a change of management decisions and business policy. Because we have elected not to be subject to Section 203 of the General Corporation Law of the State of Delaware, the principal stockholder may find it easier to sell its controlling interest to a third party than if we had not so elected.</w:t>
      </w:r>
    </w:p>
    <w:p>
      <w:pPr>
        <w:spacing w:after="0" w:line="133"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In addition to any conflicts of interest that arise in the foregoing areas, our interests may conflict with those of the principal stockholder affiliates in a number of other areas, including:</w:t>
      </w:r>
    </w:p>
    <w:p>
      <w:pPr>
        <w:spacing w:after="0" w:line="38" w:lineRule="exact"/>
        <w:rPr>
          <w:sz w:val="20"/>
          <w:szCs w:val="20"/>
          <w:color w:val="auto"/>
        </w:rPr>
      </w:pPr>
    </w:p>
    <w:p>
      <w:pPr>
        <w:ind w:left="840" w:right="300" w:hanging="322"/>
        <w:spacing w:after="0" w:line="268" w:lineRule="auto"/>
        <w:tabs>
          <w:tab w:leader="none" w:pos="8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presented to the principal stockholder affiliates and to our officers and directors associated with the principal stockholder affiliates, and competition between the principal stockholder affiliates and us within the same lines of business;</w:t>
      </w:r>
    </w:p>
    <w:p>
      <w:pPr>
        <w:spacing w:after="0" w:line="50"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solicitation and hiring of employees from each other; and</w:t>
      </w:r>
    </w:p>
    <w:p>
      <w:pPr>
        <w:spacing w:after="0" w:line="95" w:lineRule="exact"/>
        <w:rPr>
          <w:rFonts w:ascii="Times New Roman" w:cs="Times New Roman" w:eastAsia="Times New Roman" w:hAnsi="Times New Roman"/>
          <w:sz w:val="18"/>
          <w:szCs w:val="18"/>
          <w:color w:val="auto"/>
        </w:rPr>
      </w:pPr>
    </w:p>
    <w:p>
      <w:pPr>
        <w:ind w:left="820" w:hanging="302"/>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the principal stockholder affiliates relating to corporate services that may be material to our business.</w:t>
      </w:r>
    </w:p>
    <w:p>
      <w:pPr>
        <w:spacing w:after="0" w:line="16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may not be able to resolve any potential conflicts with the principal stockholder affiliates, and even if we do, the resolution may be less favorable than if we were dealing with an unaffiliated party, particularly if the conflicts are resolved while we are controlled by the principal stockholder affiliates. Our restated certificate of incorporation provides that the principal stockholder affiliates have no duty to refrain from engaging in activities or lines of business similar to ours and that the principal stockholder affiliates will not be liable to us or our stockholders for failing to present specified corporate opportunities to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85"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The Company maintains a comprehensive approach to cybersecurity and data protection, based on a risk-based, defense-in-depth strategy. We regularly assess industry best practices and standards and endeavor to implement them in our efforts to manage cybersecurity risk. We follow industry standard cybersecurity frameworks, including the National Institute of Standards and Technology Cybersecurity Framework, to design, assess and update our cybersecurity strategy, controls and processes. Our focus is on protecting our highest-value information assets, which include manufacturing systems, financial systems, and confidential, personal, and private information.</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To safeguard our networks and systems, we have a dedicated cybersecurity organization overseen by our Senior Director, Cybersecurity and Network Operations, which operates within our information technology department overseen by the Chief Information Officer. Our cybersecurity organization employs multiple security controls, such as firewalls, spam protection, web filtering, endpoint detection and response software, controlled access, vulnerability management, redundancies, patching, and regular onsite and offsite backups. Our cybersecurity organization also uses a variety of processes to address cybersecurity threats related to the use of third-party technology and services, including pre-acquisition diligence, imposition of contractual obligations, and risk-based performance monitoring.</w:t>
      </w:r>
    </w:p>
    <w:p>
      <w:pPr>
        <w:spacing w:after="0" w:line="13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Both our Chief Information Officer and our Senior Director, Cybersecurity and Network Operations have extensive experience in assessing and managing cybersecurity risks, including through decades of collective experience in information technology and cybersecurity roles of increasing responsibility both at the Company and in prior positions. We prioritize cybersecurity awareness among our employees and contractors through various training exercises, including formal programs and simulated phishing events. We maintain incident response plans, playbooks, and engage third-party cybersecurity firms for simulated cyberattacks and penetration testing to identify potential risks. We also have a third-party cybersecurity firm on retainer for incident assistance and response. Periodic internal self-assessments are conducted by our cybersecurity organization using the National Institute of Standards and Technology Cybersecurity Framework.</w:t>
      </w:r>
    </w:p>
    <w:p>
      <w:pPr>
        <w:spacing w:after="0" w:line="13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experience cybersecurity threats and attempted breaches and other incidents. We classify and track these events based on significance and implement remediation actions that we consider appropriate to address the risks relating to such incidents. Although we have not experienced material impacts to our business strategy, results of operations or financial condition from any such incidents in the past three years, we cannot guarantee that a material incident will not occur in the future. Refer to "</w:t>
      </w:r>
      <w:r>
        <w:rPr>
          <w:rFonts w:ascii="Times New Roman" w:cs="Times New Roman" w:eastAsia="Times New Roman" w:hAnsi="Times New Roman"/>
          <w:sz w:val="18"/>
          <w:szCs w:val="18"/>
          <w:i w:val="1"/>
          <w:iCs w:val="1"/>
          <w:color w:val="auto"/>
        </w:rPr>
        <w:t>Failure to adequately protect critical data and technology systems could materially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under "Item 1A. 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Legal, Government and Regulatory Risks" of this Form 10-K.</w:t>
      </w:r>
    </w:p>
    <w:p>
      <w:pPr>
        <w:spacing w:after="0" w:line="13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Board has charged the Corporate Risk and Sustainability Committee with assisting the Board with its oversight of cybersecurity risks, which is a component of our overall enterprise risk management program. The Corporate Risk and Sustainability Committee includes directors with cybersecurity experience and expertise through supervision of information technology departments as executive officers. The Corporate Risk and Sustainability Committee receives regular updates from senior management and our Chief Information Officer on cybersecurity risks, incidents and trends, and ongoing and planned projects. Regular status reports are also provided by the cybersecurity organization to our Chief Information Officer and other members of our senior management and incident updates are reported to senior management as the Chief Information Officer and cybersecurity organization considers appropriate depending on the severity of the incident.</w:t>
      </w:r>
    </w:p>
    <w:p>
      <w:pPr>
        <w:spacing w:after="0" w:line="134" w:lineRule="exact"/>
        <w:rPr>
          <w:sz w:val="20"/>
          <w:szCs w:val="20"/>
          <w:color w:val="auto"/>
        </w:rPr>
      </w:pPr>
    </w:p>
    <w:p>
      <w:pPr>
        <w:ind w:right="920" w:firstLine="395"/>
        <w:spacing w:after="0" w:line="268" w:lineRule="auto"/>
        <w:rPr>
          <w:sz w:val="20"/>
          <w:szCs w:val="20"/>
          <w:color w:val="auto"/>
        </w:rPr>
      </w:pPr>
      <w:r>
        <w:rPr>
          <w:rFonts w:ascii="Times New Roman" w:cs="Times New Roman" w:eastAsia="Times New Roman" w:hAnsi="Times New Roman"/>
          <w:sz w:val="18"/>
          <w:szCs w:val="18"/>
          <w:color w:val="auto"/>
        </w:rPr>
        <w:t>As part of our incident response planning, we also maintain cross-functional response teams involving personnel outside of our cybersecurity organization, both globally and regionally, in order to be prepared to respond to an incident.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85" w:lineRule="exact"/>
        <w:rPr>
          <w:sz w:val="20"/>
          <w:szCs w:val="20"/>
          <w:color w:val="auto"/>
        </w:rPr>
      </w:pPr>
    </w:p>
    <w:p>
      <w:pPr>
        <w:ind w:right="240" w:firstLine="395"/>
        <w:spacing w:after="0" w:line="332" w:lineRule="auto"/>
        <w:rPr>
          <w:sz w:val="20"/>
          <w:szCs w:val="20"/>
          <w:color w:val="auto"/>
        </w:rPr>
      </w:pPr>
      <w:r>
        <w:rPr>
          <w:rFonts w:ascii="Times New Roman" w:cs="Times New Roman" w:eastAsia="Times New Roman" w:hAnsi="Times New Roman"/>
          <w:sz w:val="16"/>
          <w:szCs w:val="16"/>
          <w:color w:val="auto"/>
        </w:rPr>
        <w:t>Information concerning the principal locations from which our products are manufactured are included in the tables set forth under the captions "Performance and Essential Materials Business—</w:t>
      </w:r>
      <w:r>
        <w:rPr>
          <w:rFonts w:ascii="Times New Roman" w:cs="Times New Roman" w:eastAsia="Times New Roman" w:hAnsi="Times New Roman"/>
          <w:sz w:val="16"/>
          <w:szCs w:val="16"/>
          <w:i w:val="1"/>
          <w:iCs w:val="1"/>
          <w:color w:val="auto"/>
        </w:rPr>
        <w:t>Products</w:t>
      </w:r>
      <w:r>
        <w:rPr>
          <w:rFonts w:ascii="Times New Roman" w:cs="Times New Roman" w:eastAsia="Times New Roman" w:hAnsi="Times New Roman"/>
          <w:sz w:val="16"/>
          <w:szCs w:val="16"/>
          <w:color w:val="auto"/>
        </w:rPr>
        <w:t>" and "Housing and Infrastructure Products Business—</w:t>
      </w:r>
      <w:r>
        <w:rPr>
          <w:rFonts w:ascii="Times New Roman" w:cs="Times New Roman" w:eastAsia="Times New Roman" w:hAnsi="Times New Roman"/>
          <w:sz w:val="16"/>
          <w:szCs w:val="16"/>
          <w:i w:val="1"/>
          <w:iCs w:val="1"/>
          <w:color w:val="auto"/>
        </w:rPr>
        <w:t>Products</w:t>
      </w:r>
      <w:r>
        <w:rPr>
          <w:rFonts w:ascii="Times New Roman" w:cs="Times New Roman" w:eastAsia="Times New Roman" w:hAnsi="Times New Roman"/>
          <w:sz w:val="16"/>
          <w:szCs w:val="16"/>
          <w:color w:val="auto"/>
        </w:rPr>
        <w:t>" contained in "Item 1.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Headquarters</w:t>
      </w:r>
    </w:p>
    <w:p>
      <w:pPr>
        <w:spacing w:after="0" w:line="100"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principal executive offices are located in Houston, Texas. Some of our office space is leased, at market rates, from an affiliate of our principal stockholder. See Note 19 "Related Party and Affiliate Transactions" to Consolidated Financial Statements appearing elsewhere in this Form 10-K and "Certain Relationships and Related Party Transactions" in our proxy statement to be filed with the SEC pursuant to Regulation 14A with respect to our 2026 annual meeting of stockholders (the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6" w:lineRule="exact"/>
        <w:rPr>
          <w:sz w:val="20"/>
          <w:szCs w:val="20"/>
          <w:color w:val="auto"/>
        </w:rPr>
      </w:pPr>
    </w:p>
    <w:p>
      <w:pPr>
        <w:jc w:val="both"/>
        <w:ind w:right="60" w:firstLine="395"/>
        <w:spacing w:after="0" w:line="257" w:lineRule="auto"/>
        <w:rPr>
          <w:sz w:val="20"/>
          <w:szCs w:val="20"/>
          <w:color w:val="auto"/>
        </w:rPr>
      </w:pPr>
      <w:r>
        <w:rPr>
          <w:rFonts w:ascii="Times New Roman" w:cs="Times New Roman" w:eastAsia="Times New Roman" w:hAnsi="Times New Roman"/>
          <w:sz w:val="18"/>
          <w:szCs w:val="18"/>
          <w:color w:val="auto"/>
        </w:rPr>
        <w:t>In addition to the matters described under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Environmental" and Note 21 "Commitments and Contingencies" to Consolidated Financial Statements included in Item 8 of this Form 10-K, we are involved in various legal proceedings incidental to the conduct of our business. We do not believe that any of these legal proceedings will have a material adverse effect on our financial condition, results of operations or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83"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James Y. Chao </w:t>
      </w:r>
      <w:r>
        <w:rPr>
          <w:rFonts w:ascii="Times New Roman" w:cs="Times New Roman" w:eastAsia="Times New Roman" w:hAnsi="Times New Roman"/>
          <w:sz w:val="18"/>
          <w:szCs w:val="18"/>
          <w:color w:val="auto"/>
        </w:rPr>
        <w:t>(age 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Chao has been our Senior Chairman of the Board of Directors since July 2024 and became a director in June 2003.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2004 to July 2024, Mr. Chao served as Chairman of the Board and, from May 1996 to July 2004, he served as our Vice Chairman. In addition, Mr. Chao has been a director of Westlake Partners' general partner since its formation in March 2014, its Senior Chairman of the Board since July 2024 and served as its Chairman of the Board from July 2014 to July 2024.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Corporation. He is the brother of Albert Y. Chao, father of Catherine T. Chao and David T. Chao and uncle of John T. Chao and Carolyn C. Sabat. Mr. Chao received his B.S. degree from Massachusetts Institute of Technology and an M.B.A. from Columbia University.</w:t>
      </w:r>
    </w:p>
    <w:p>
      <w:pPr>
        <w:spacing w:after="0" w:line="136" w:lineRule="exact"/>
        <w:rPr>
          <w:sz w:val="20"/>
          <w:szCs w:val="20"/>
          <w:color w:val="auto"/>
        </w:rPr>
      </w:pPr>
    </w:p>
    <w:p>
      <w:pPr>
        <w:ind w:right="80"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Albert Y. Chao </w:t>
      </w:r>
      <w:r>
        <w:rPr>
          <w:rFonts w:ascii="Times New Roman" w:cs="Times New Roman" w:eastAsia="Times New Roman" w:hAnsi="Times New Roman"/>
          <w:sz w:val="16"/>
          <w:szCs w:val="16"/>
          <w:color w:val="auto"/>
        </w:rPr>
        <w:t>(age 76)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Chao has been our Executive Chairman of the Board of Directors since July 2024 and a director since June 2003. From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1996 to July 2024, Mr. Chao served as President and, from July 2004 to July 2024 he served as our Chief Executive Officer. In addition, Mr. Chao has been a director of Westlake Partners' general partner since its formation in March 2014, its Executive Chairman of the Board since July 2024 and served as its President and Chief Executive Officer from March 2014 to July 2024. In 1985, Mr. Chao assisted his father T.T. Chao and his brother James Chao in founding Westlake Corporation.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He is the brother of James Y. Chao, father of John T. Chao and Carolyn C. Sabat and uncle of Catherine T. Chao and David T. Chao. Mr. Chao received a bachelor's degree from Brandeis University and an M.B.A. from Columbia University.</w:t>
      </w:r>
    </w:p>
    <w:p>
      <w:pPr>
        <w:spacing w:after="0" w:line="107" w:lineRule="exact"/>
        <w:rPr>
          <w:sz w:val="20"/>
          <w:szCs w:val="20"/>
          <w:color w:val="auto"/>
        </w:rPr>
      </w:pPr>
    </w:p>
    <w:p>
      <w:pPr>
        <w:ind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Jean-Marc Gilson </w:t>
      </w:r>
      <w:r>
        <w:rPr>
          <w:rFonts w:ascii="Times New Roman" w:cs="Times New Roman" w:eastAsia="Times New Roman" w:hAnsi="Times New Roman"/>
          <w:sz w:val="16"/>
          <w:szCs w:val="16"/>
          <w:color w:val="auto"/>
        </w:rPr>
        <w:t>(age 62). Mr. Gilson has been our President and Chief Executive Officer since July 2024 and a director since February 2026. Mr.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Gilson has also served as President and Chief Executive Officer and a Director of Westlake Partners' general partner since July 2024. Prior to joining Westlake, Mr. Gilson served as President, Chief Executive Officer and Representative Director of Mitsubishi Chemical Group Corporation (formerly known as Mitsubishi Chemical Holdings Corporation), from April 2021 until April 2024. From September 2014 until December 2020, Mr. Gilson served as Chief Executive Officer of Roquette Frères. Before that, Mr. Gilson served as Vice-Chairman and Chief Operating Officer of NuSil Technology LLC. Earlier in his career, Mr. Gilson held various leadership roles at Dow Corning Corporation, including Executive Vice President, Specialty Chemicals Business, before becoming Chief Executive Officer of Avantor Performance Materials, Inc. Mr. Gilson holds a Master of Science in Chemical Engineering from the University of Liege in Belgium and an Executive Master of Business Administration from the International Institute for Management Development in Switzerland.</w:t>
      </w:r>
    </w:p>
    <w:p>
      <w:pPr>
        <w:spacing w:after="0" w:line="107"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M. Steven Bender </w:t>
      </w:r>
      <w:r>
        <w:rPr>
          <w:rFonts w:ascii="Times New Roman" w:cs="Times New Roman" w:eastAsia="Times New Roman" w:hAnsi="Times New Roman"/>
          <w:sz w:val="16"/>
          <w:szCs w:val="16"/>
          <w:color w:val="auto"/>
        </w:rPr>
        <w:t>(age 69). Mr. Bender has been our Executive Vice President and Chief Financial Officer since July 2017. From February 2008 to July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2017, Mr. Bender served as our Senior Vice President and Chief Financial Officer. In addition, Mr. Bender served as our Treasurer from July 2011 to April 2017, a position he also held from February 2008 until December 2010. From February 2007 to February 2008, Mr. Bender served as our Vice President, Chief Financial Officer and Treasurer and from June 2005 to February 2007, he served as our Vice President and Treasurer. In addition, Mr. Bender has been a director of Westlake Partners' general partner since its formation in March 2014, its Executive Vice President and Chief Financial Officer since February 2021, and its Senior Vice President and Chief Financial Officer from March 2014 to February 2021.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325" w:lineRule="exact"/>
        <w:rPr>
          <w:sz w:val="20"/>
          <w:szCs w:val="20"/>
          <w:color w:val="auto"/>
        </w:rPr>
      </w:pPr>
    </w:p>
    <w:p>
      <w:pPr>
        <w:ind w:right="100"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Robert F. Buesinger </w:t>
      </w:r>
      <w:r>
        <w:rPr>
          <w:rFonts w:ascii="Times New Roman" w:cs="Times New Roman" w:eastAsia="Times New Roman" w:hAnsi="Times New Roman"/>
          <w:sz w:val="16"/>
          <w:szCs w:val="16"/>
          <w:color w:val="auto"/>
        </w:rPr>
        <w:t>(age 69)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Buesinger has been our Executive Vice President, Performance &amp; Essential Materials Segment Head since April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February 2022 to April 2025, Mr. Businger served as our Executive Vice President, Housing and Infrastructure Products, IT and Digital; from July 2017 to February 2022, he served as our Executive Vice President, Vinyl Products; and, from April 2010 to July 2017, he served as our Senior Vice President, Vinyls. Prior to joining us, Mr. Buesinger served as the General Manager and President of Chevron Phillips Chemical Company L.P.'s Performance Pipe Division from February 2010 to March 2010. From June 2008 to January 2010, Mr. Buesinger held the position of General Manager in the Alpha Olefins and Poly Alpha Olefins business of Chevron Phillips Chemical Company L.P. From April 2005 to May 2008, he served as the President and Managing Director of Chevron Phillips Singapore Chemicals Pte. Ltd. and Asia Region General Manager for Chevron Phillips Chemical Company L.P. Prior to that, he held various technical and sales management positions within that company. Mr. Buesinger holds a B.S. in Chemical Engineering from Tulane University.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L. Benjamin Ederington </w:t>
      </w:r>
      <w:r>
        <w:rPr>
          <w:rFonts w:ascii="Times New Roman" w:cs="Times New Roman" w:eastAsia="Times New Roman" w:hAnsi="Times New Roman"/>
          <w:sz w:val="16"/>
          <w:szCs w:val="16"/>
          <w:color w:val="auto"/>
        </w:rPr>
        <w:t>(age 55). Mr. Ederington has been our Executive Vice President, Legal and External Affairs since April 2025. From April 2023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April 2025, Mr. Ederington served as our Executive Vice President, Performance and Essential Materials, General Counsel and Chief Administrative Officer; from February 2022 to April 2023, he served as our Executive Vice President, General Counsel, Chief Administrative Officer and Corporate Secretary; from July 2017 to February 2022; he served as our Senior Vice President, General Counsel, Chief Administrative Officer and Corporate Secretary; from December 2015 to July 2017, he served as our Vice President, General Counsel, Chief Administrative Officer and Corporate Secretary; and, from October 2013 to December 2015, he served as our Vice President, General Counsel and Corporate Secretary. In addition, Mr. Ederington has been a director of Westlake Partners' general partner since its formation in March 2014 and its Executive Vice President, Legal and External Affairs since May 2025. Mr. Ederington was Westlake Partners' general partner's Executive Vice President, Performance and Essential Materials, General Counsel and Chief Administrative Officer from May 2023 to May 2025; Executive Vice President, General Counsel, Chief Administrative Officer and Corporate Secretary from March 2022 to May 2023; Senior Vice President, General Counsel, Chief Administrative Officer and Corporate Secretary from February 2021 to March 2022; and, its Vice President, General Counsel and Secretary from March 2014 to February 2021.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He began his legal career more than 25 years ago at the law firm of Steptoe &amp; Johnson, LLP. Mr. Ederington holds a B.A. from Yale University and received his J.D. from Harvard University.</w:t>
      </w:r>
    </w:p>
    <w:p>
      <w:pPr>
        <w:spacing w:after="0" w:line="325"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Scott T. Szwejbka </w:t>
      </w:r>
      <w:r>
        <w:rPr>
          <w:rFonts w:ascii="Times New Roman" w:cs="Times New Roman" w:eastAsia="Times New Roman" w:hAnsi="Times New Roman"/>
          <w:sz w:val="18"/>
          <w:szCs w:val="18"/>
          <w:color w:val="auto"/>
        </w:rPr>
        <w:t>(age 57). Mr. Szwejbka has been our Senior Vice President, Housing &amp; Infrastructure Products Segment Head since April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2024 to April 2025, Mr. Szwejbka served as our Senior Vice President, Westlake Royal Building Products; from March 2022 to July 2024, he was our Vice President, Building Products; and, from March 2017 to March 2022, he was our Vice President, Exteriors. Prior to joining Westlake, Mr. Szwejbka was Chief Operating Officer of the Pet Loss Center/Graycourt Capital from September 2016 to February 2017. From May 2013 to January 2016, he served as President, Pipe and Precast US for Forterra plc (formerly Hanson Building Products). From August 2005 to May 2013, he held a variety of senior positions at Leigh Hanson Inc. (now Heidelberg Material) and its predecessor company, Hanson Brick, including most recently as Senior Vice President, Commercial Pipe and Precast US. He began his career with Teepak International, Inc. in 1991. Mr. Szwejbka holds a B.S. in Chemical Engineering from the University of Wisconsin-Madison and an M.B.A. from the University of Illinois.</w:t>
      </w:r>
    </w:p>
    <w:p>
      <w:pPr>
        <w:spacing w:after="0" w:line="178"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Jeffrey A. Holy </w:t>
      </w:r>
      <w:r>
        <w:rPr>
          <w:rFonts w:ascii="Times New Roman" w:cs="Times New Roman" w:eastAsia="Times New Roman" w:hAnsi="Times New Roman"/>
          <w:sz w:val="18"/>
          <w:szCs w:val="18"/>
          <w:color w:val="auto"/>
        </w:rPr>
        <w:t>(age 46). Mr. Holy has been our Vice President and Chief Accounting Officer since April 2024. From April 2017 to April 2024, Mr. Holy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Vice President and Treasurer. In addition, Mr. Holy has been the Vice President and Chief Accounting Officer of Westlake Partners' general partner since April 2024 and served as its Vice President and Treasurer from April 2017 to April 2024. Prior to joining Westlake, from October 2014 to March 2017, Mr. Holy was Assistant Treasurer at FMC Technologies, Inc. and from October 2013 to September 2014 was Director of Corporate Finance. From September 2007 to September 2013, he held various financial positions at General Motors Company in their Treasurers' Office in New York and Germany. He began his career in public accounting with Ernst &amp; Young LLP in 2001. Mr. Holy holds a Bachelor of Science Degree from Trinity University in Business Administration and Economics, a Master in Accounting Degree from the University of Virginia, and a Master in Finance Degree from London Business School. He is a Chartered Financial Analyst and Certified Public Accountant.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0" w:lineRule="exact"/>
        <w:rPr>
          <w:sz w:val="20"/>
          <w:szCs w:val="20"/>
          <w:color w:val="auto"/>
        </w:rPr>
      </w:pPr>
    </w:p>
    <w:p>
      <w:pPr>
        <w:ind w:right="2220"/>
        <w:spacing w:after="0" w:line="344"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Stockholder Matters</w:t>
      </w:r>
    </w:p>
    <w:p>
      <w:pPr>
        <w:spacing w:after="0" w:line="1"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As of February 18, 2026, there were 28 holders of record of our common stock. Our common stock is listed on the New York Stock Exchange under the symbol "WLK."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87"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We did not have any unregistered sales of equity securities during the quarter or fiscal year ended December 31, 2025 that we have not previously reported on a Quarterly Report on Form 10-Q or a Current Report on Form 8-K.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on our purchase of equity securities during the quarter ended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580" w:type="dxa"/>
            <w:vAlign w:val="bottom"/>
          </w:tcPr>
          <w:p>
            <w:pPr>
              <w:jc w:val="center"/>
              <w:ind w:right="105"/>
              <w:spacing w:after="0" w:line="145" w:lineRule="exact"/>
              <w:rPr>
                <w:sz w:val="20"/>
                <w:szCs w:val="20"/>
                <w:color w:val="auto"/>
              </w:rPr>
            </w:pPr>
            <w:r>
              <w:rPr>
                <w:rFonts w:ascii="Times New Roman" w:cs="Times New Roman" w:eastAsia="Times New Roman" w:hAnsi="Times New Roman"/>
                <w:sz w:val="14"/>
                <w:szCs w:val="14"/>
                <w:b w:val="1"/>
                <w:bCs w:val="1"/>
                <w:color w:val="auto"/>
                <w:w w:val="99"/>
              </w:rPr>
              <w:t>(or Approximate</w:t>
            </w:r>
          </w:p>
        </w:tc>
        <w:tc>
          <w:tcPr>
            <w:tcW w:w="0" w:type="dxa"/>
            <w:vAlign w:val="bottom"/>
          </w:tcPr>
          <w:p>
            <w:pPr>
              <w:spacing w:after="0"/>
              <w:rPr>
                <w:sz w:val="1"/>
                <w:szCs w:val="1"/>
                <w:color w:val="auto"/>
              </w:rPr>
            </w:pPr>
          </w:p>
        </w:tc>
      </w:tr>
      <w:tr>
        <w:trPr>
          <w:trHeight w:val="143"/>
        </w:trPr>
        <w:tc>
          <w:tcPr>
            <w:tcW w:w="3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tcPr>
          <w:p>
            <w:pPr>
              <w:jc w:val="center"/>
              <w:ind w:right="212"/>
              <w:spacing w:after="0" w:line="143"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580" w:type="dxa"/>
            <w:vAlign w:val="bottom"/>
          </w:tcPr>
          <w:p>
            <w:pPr>
              <w:jc w:val="center"/>
              <w:ind w:right="105"/>
              <w:spacing w:after="0" w:line="143" w:lineRule="exact"/>
              <w:rPr>
                <w:sz w:val="20"/>
                <w:szCs w:val="20"/>
                <w:color w:val="auto"/>
              </w:rPr>
            </w:pPr>
            <w:r>
              <w:rPr>
                <w:rFonts w:ascii="Times New Roman" w:cs="Times New Roman" w:eastAsia="Times New Roman" w:hAnsi="Times New Roman"/>
                <w:sz w:val="14"/>
                <w:szCs w:val="14"/>
                <w:b w:val="1"/>
                <w:bCs w:val="1"/>
                <w:color w:val="auto"/>
                <w:w w:val="99"/>
              </w:rPr>
              <w:t>Dollar Value) of</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2040" w:type="dxa"/>
            <w:vAlign w:val="bottom"/>
            <w:gridSpan w:val="3"/>
          </w:tcPr>
          <w:p>
            <w:pPr>
              <w:jc w:val="center"/>
              <w:ind w:right="212"/>
              <w:spacing w:after="0" w:line="145"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580" w:type="dxa"/>
            <w:vAlign w:val="bottom"/>
          </w:tcPr>
          <w:p>
            <w:pPr>
              <w:jc w:val="center"/>
              <w:ind w:right="105"/>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040" w:type="dxa"/>
            <w:vAlign w:val="bottom"/>
            <w:gridSpan w:val="3"/>
          </w:tcPr>
          <w:p>
            <w:pPr>
              <w:jc w:val="center"/>
              <w:ind w:right="192"/>
              <w:spacing w:after="0" w:line="133" w:lineRule="exact"/>
              <w:rPr>
                <w:sz w:val="20"/>
                <w:szCs w:val="20"/>
                <w:color w:val="auto"/>
              </w:rPr>
            </w:pPr>
            <w:r>
              <w:rPr>
                <w:rFonts w:ascii="Times New Roman" w:cs="Times New Roman" w:eastAsia="Times New Roman" w:hAnsi="Times New Roman"/>
                <w:sz w:val="14"/>
                <w:szCs w:val="14"/>
                <w:b w:val="1"/>
                <w:bCs w:val="1"/>
                <w:color w:val="auto"/>
                <w:w w:val="99"/>
              </w:rPr>
              <w:t>of Publicly</w:t>
            </w:r>
          </w:p>
        </w:tc>
        <w:tc>
          <w:tcPr>
            <w:tcW w:w="1580" w:type="dxa"/>
            <w:vAlign w:val="bottom"/>
          </w:tcPr>
          <w:p>
            <w:pPr>
              <w:jc w:val="center"/>
              <w:ind w:right="105"/>
              <w:spacing w:after="0" w:line="133" w:lineRule="exact"/>
              <w:rPr>
                <w:sz w:val="20"/>
                <w:szCs w:val="20"/>
                <w:color w:val="auto"/>
              </w:rPr>
            </w:pPr>
            <w:r>
              <w:rPr>
                <w:rFonts w:ascii="Times New Roman" w:cs="Times New Roman" w:eastAsia="Times New Roman" w:hAnsi="Times New Roman"/>
                <w:sz w:val="14"/>
                <w:szCs w:val="14"/>
                <w:b w:val="1"/>
                <w:bCs w:val="1"/>
                <w:color w:val="auto"/>
                <w:w w:val="96"/>
              </w:rPr>
              <w:t>May Yet Be</w:t>
            </w:r>
          </w:p>
        </w:tc>
        <w:tc>
          <w:tcPr>
            <w:tcW w:w="0" w:type="dxa"/>
            <w:vAlign w:val="bottom"/>
          </w:tcPr>
          <w:p>
            <w:pPr>
              <w:spacing w:after="0"/>
              <w:rPr>
                <w:sz w:val="1"/>
                <w:szCs w:val="1"/>
                <w:color w:val="auto"/>
              </w:rPr>
            </w:pPr>
          </w:p>
        </w:tc>
      </w:tr>
      <w:tr>
        <w:trPr>
          <w:trHeight w:val="14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 Per</w:t>
            </w:r>
          </w:p>
        </w:tc>
        <w:tc>
          <w:tcPr>
            <w:tcW w:w="2040" w:type="dxa"/>
            <w:vAlign w:val="bottom"/>
            <w:gridSpan w:val="3"/>
          </w:tcPr>
          <w:p>
            <w:pPr>
              <w:jc w:val="center"/>
              <w:ind w:right="212"/>
              <w:spacing w:after="0" w:line="143"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580" w:type="dxa"/>
            <w:vAlign w:val="bottom"/>
          </w:tcPr>
          <w:p>
            <w:pPr>
              <w:jc w:val="center"/>
              <w:ind w:right="105"/>
              <w:spacing w:after="0" w:line="143"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760" w:type="dxa"/>
            <w:vAlign w:val="bottom"/>
          </w:tcPr>
          <w:p>
            <w:pPr>
              <w:jc w:val="center"/>
              <w:spacing w:after="0" w:line="197" w:lineRule="exact"/>
              <w:rPr>
                <w:sz w:val="20"/>
                <w:szCs w:val="20"/>
                <w:color w:val="auto"/>
              </w:rPr>
            </w:pPr>
            <w:r>
              <w:rPr>
                <w:rFonts w:ascii="Times New Roman" w:cs="Times New Roman" w:eastAsia="Times New Roman" w:hAnsi="Times New Roman"/>
                <w:sz w:val="14"/>
                <w:szCs w:val="14"/>
                <w:b w:val="1"/>
                <w:bCs w:val="1"/>
                <w:color w:val="auto"/>
                <w:w w:val="94"/>
              </w:rPr>
              <w:t xml:space="preserve">Purchased </w:t>
            </w:r>
            <w:r>
              <w:rPr>
                <w:rFonts w:ascii="Times New Roman" w:cs="Times New Roman" w:eastAsia="Times New Roman" w:hAnsi="Times New Roman"/>
                <w:sz w:val="18"/>
                <w:szCs w:val="18"/>
                <w:b w:val="1"/>
                <w:bCs w:val="1"/>
                <w:color w:val="auto"/>
                <w:w w:val="94"/>
                <w:vertAlign w:val="superscript"/>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040" w:type="dxa"/>
            <w:vAlign w:val="bottom"/>
            <w:gridSpan w:val="3"/>
          </w:tcPr>
          <w:p>
            <w:pPr>
              <w:jc w:val="center"/>
              <w:ind w:right="212"/>
              <w:spacing w:after="0" w:line="197"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18"/>
                <w:szCs w:val="18"/>
                <w:b w:val="1"/>
                <w:bCs w:val="1"/>
                <w:color w:val="auto"/>
                <w:w w:val="96"/>
                <w:vertAlign w:val="superscript"/>
              </w:rPr>
              <w:t>(2)</w:t>
            </w:r>
          </w:p>
        </w:tc>
        <w:tc>
          <w:tcPr>
            <w:tcW w:w="1580" w:type="dxa"/>
            <w:vAlign w:val="bottom"/>
          </w:tcPr>
          <w:p>
            <w:pPr>
              <w:jc w:val="center"/>
              <w:ind w:right="85"/>
              <w:spacing w:after="0" w:line="197" w:lineRule="exact"/>
              <w:rPr>
                <w:sz w:val="20"/>
                <w:szCs w:val="20"/>
                <w:color w:val="auto"/>
              </w:rPr>
            </w:pPr>
            <w:r>
              <w:rPr>
                <w:rFonts w:ascii="Times New Roman" w:cs="Times New Roman" w:eastAsia="Times New Roman" w:hAnsi="Times New Roman"/>
                <w:sz w:val="14"/>
                <w:szCs w:val="14"/>
                <w:b w:val="1"/>
                <w:bCs w:val="1"/>
                <w:color w:val="auto"/>
                <w:w w:val="97"/>
              </w:rPr>
              <w:t xml:space="preserve">Plans or Programs </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386,178,956</w:t>
            </w:r>
          </w:p>
        </w:tc>
        <w:tc>
          <w:tcPr>
            <w:tcW w:w="0" w:type="dxa"/>
            <w:vAlign w:val="bottom"/>
          </w:tcPr>
          <w:p>
            <w:pPr>
              <w:spacing w:after="0"/>
              <w:rPr>
                <w:sz w:val="1"/>
                <w:szCs w:val="1"/>
                <w:color w:val="auto"/>
              </w:rPr>
            </w:pPr>
          </w:p>
        </w:tc>
      </w:tr>
      <w:tr>
        <w:trPr>
          <w:trHeight w:val="22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20" w:type="dxa"/>
            <w:vAlign w:val="bottom"/>
          </w:tcPr>
          <w:p>
            <w:pPr>
              <w:spacing w:after="0"/>
              <w:rPr>
                <w:sz w:val="19"/>
                <w:szCs w:val="19"/>
                <w:color w:val="auto"/>
              </w:rPr>
            </w:pPr>
          </w:p>
        </w:tc>
        <w:tc>
          <w:tcPr>
            <w:tcW w:w="204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386,178,956</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445,881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353,341,696</w:t>
            </w: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452,064</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445,881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40" w:lineRule="exact"/>
        <w:rPr>
          <w:sz w:val="20"/>
          <w:szCs w:val="20"/>
          <w:color w:val="auto"/>
        </w:rPr>
      </w:pPr>
    </w:p>
    <w:p>
      <w:pPr>
        <w:ind w:left="400" w:right="300" w:hanging="395"/>
        <w:spacing w:after="0" w:line="268" w:lineRule="auto"/>
        <w:tabs>
          <w:tab w:leader="none" w:pos="3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5,984, 148 and 51 shares withheld in October 2025, November 2025 and December 2025, respectively, in satisfaction of withholding taxes due upon the vesting of restricted stock units granted to our employees under the 2013 Omnibus Incentive Plan.</w:t>
      </w:r>
    </w:p>
    <w:p>
      <w:pPr>
        <w:spacing w:after="0" w:line="11" w:lineRule="exact"/>
        <w:rPr>
          <w:rFonts w:ascii="Times New Roman" w:cs="Times New Roman" w:eastAsia="Times New Roman" w:hAnsi="Times New Roman"/>
          <w:sz w:val="18"/>
          <w:szCs w:val="18"/>
          <w:color w:val="auto"/>
        </w:rPr>
      </w:pPr>
    </w:p>
    <w:p>
      <w:pPr>
        <w:ind w:left="400" w:hanging="395"/>
        <w:spacing w:after="0" w:line="247" w:lineRule="auto"/>
        <w:tabs>
          <w:tab w:leader="none" w:pos="3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with no expiration date. Subsequently, the Board approved three expansions of the 2014 Program in November 2015, August 2018 and August 2022, by an additional $150 million, $150 million and $500 million, respectively. During the year ended December 31, 2025, 725,652 shares of our common stock were repurchased for an aggregate purchase price of $63 million under the 2014 Program. As of December 31, 2025, 9,928,283 shares of our common stock had been acquired at an aggregate purchase price of approximately $697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85"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following discussion and analysis is management's perspective of our current financial condition and results of operations and should be read in conjunction with "Items 1A. "Risk Factors" and "Item 8. Financial Statements and Supplementary Data" included in this report. This discussion and analysis includes the years ended December 31, 2025 and 2024 and comparison between such years. The discussion for the year ended December 31, 2023 and comparison between the years ended December 31, 2024 and 2023 have been omitted from this Annual Report on Form 10-K for the year ended December 31, 2025, as such information can be found in Part II, "Item 7. Management's Discussion and Analysis of Financial Condition and Results of Operations" of our Annual Report on Form 10-K for the year ended December 31, 2024 which was filed with the Securities and Exchange Commission on February 25, 2025. The following discussion includes forward-looking statements that involve certain risks and uncertainties. See "Cautionary Statement Regarding Forward-Looking Statements" included within this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8"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 are a vertically integrated global manufacturer and marketer of both housing and infrastructure products and performance and essential materials. We operate in two principal operating segments, Housing and Infrastructure Products (HIP) and Performance and Essential Materials (PEM). The HIP segment includes Westlake Royal Building Products, Westlake Pipe &amp; Fittings and Westlake Global Compounds. The PEM segment includes Westlake North American Chlorovinyls, Westlake European &amp; Asian Chlorovinyls, Westlake Olefins and Polyethylene and Westlake Epoxy. We are highly integrated along our materials chain with significant downstream integration from ethylene and chlor-alkali (chlorine and caustic soda) into vinyls, polyethylene (PE) and epoxy. We also have substantial downstream integration from polyvinyl chloride (PVC) into our HIP segment for our residential building products, PVC pipe and fittings, and PVC compounds.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ACI/Perplastic Group</w:t>
      </w:r>
    </w:p>
    <w:p>
      <w:pPr>
        <w:spacing w:after="0" w:line="100"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On January 5, 2026, we completed the acquisition of the ACI/Perplastic Group (collectively, "ACI"), a global compounding solutions businesses, for a preliminary purchase price of approximately €92.4 million, subject to certain adjustments. ACI is a Portugal-based international manufacturer of specialty compound materials serving primarily the wire and cable sectors with manufacturing locations in Portugal, Mexico, Tunisia and Romania.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Closures of Certain North American Chlorovinyls Facilities and Styrene Plant Facility</w:t>
      </w:r>
    </w:p>
    <w:p>
      <w:pPr>
        <w:spacing w:after="0" w:line="100" w:lineRule="exact"/>
        <w:rPr>
          <w:sz w:val="20"/>
          <w:szCs w:val="20"/>
          <w:color w:val="auto"/>
        </w:rPr>
      </w:pPr>
    </w:p>
    <w:p>
      <w:pPr>
        <w:ind w:right="40" w:firstLine="395"/>
        <w:spacing w:after="0" w:line="280" w:lineRule="auto"/>
        <w:rPr>
          <w:sz w:val="20"/>
          <w:szCs w:val="20"/>
          <w:color w:val="auto"/>
        </w:rPr>
      </w:pPr>
      <w:r>
        <w:rPr>
          <w:rFonts w:ascii="Times New Roman" w:cs="Times New Roman" w:eastAsia="Times New Roman" w:hAnsi="Times New Roman"/>
          <w:sz w:val="16"/>
          <w:szCs w:val="16"/>
          <w:color w:val="auto"/>
        </w:rPr>
        <w:t>In the fourth quarter of 2025, under our asset optimization initiative, we ceased operation of certain of our North American chlorovinyl production facilities, including (i) our PVC plant at the Aberdeen, Mississippi site (ii) our vinyl chloride monomer ("VCM") plant at the Lake Charles, Louisiana North site, and (iii) one of our diaphragm chlor-alkali units at the Lake Charles, Louisiana South site, as well as (iv) our styrene production plant located at the Lake Charles, Louisiana site. We plan to continue supplying customers with PVC, VCM and chlor-alkali products from our seven other North American chlorovinyl facilities. The total costs recognized in the fourth quarter of 2025 and reflected in the PEM segment operating results as a result of these closures was $393 million, of which $386 million was included in restructuring, transaction and integration-related costs and $7 million related to write-downs of inventory that was included in costs of sales in the Company's consolidated statements of operations. The total cost of $393 million included a non-cash charge of $317 million representing accelerated depreciation, accelerated amortization and assets write-offs, asset retirement obligation costs of $52 million, employee severance and separation costs of $17 million and other plant shutdown related costs of $7 million. We expect to incur additional costs of approximately $25 million in the future in connection with the shutdown, which we expect to complete in 2027. Asset retirement obligations and plant shutdown costs recorded represent management's best estimate based on information currently available and are subject to change as additional information becomes available.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Issuance and Tender Offer</w:t>
      </w:r>
    </w:p>
    <w:p>
      <w:pPr>
        <w:spacing w:after="0" w:line="87"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In November 2025, we completed the registered public offering of $600 million aggregate principal amount of 5.550% senior notes due 2035 and $600 million aggregate principal amount of 6.375% senior notes due 2055. We used a portion of the net proceeds from the offering to fund the repurchase of a portion of our outstanding 3.60% 2026 Senior Notes pursuant to a concurrent tender offer for any and all of such notes and to fund the purchase price of the ACI acquisition. See "Liquidity and Capital Resources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Debt" below.</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87" w:lineRule="exact"/>
        <w:rPr>
          <w:sz w:val="20"/>
          <w:szCs w:val="20"/>
          <w:color w:val="auto"/>
        </w:rPr>
      </w:pPr>
    </w:p>
    <w:p>
      <w:pPr>
        <w:ind w:right="240" w:firstLine="395"/>
        <w:spacing w:after="0" w:line="282" w:lineRule="auto"/>
        <w:rPr>
          <w:sz w:val="20"/>
          <w:szCs w:val="20"/>
          <w:color w:val="auto"/>
        </w:rPr>
      </w:pPr>
      <w:r>
        <w:rPr>
          <w:rFonts w:ascii="Times New Roman" w:cs="Times New Roman" w:eastAsia="Times New Roman" w:hAnsi="Times New Roman"/>
          <w:sz w:val="16"/>
          <w:szCs w:val="16"/>
          <w:color w:val="auto"/>
        </w:rPr>
        <w:t>In the third quarter of 2025, as part of the Company's continuous assessment of changes in the macroeconomic environment of our PEM business and associated industry and recent operating performance and updated forecasts in the third quarter of 2025, we identified triggering factors associated with the North American Chlorovinyls reporting unit which comprises PVC, VCM, caustic soda, chlorine and related derivatives assets in North America. Due to the recent operating losses and downward revision of forecasts for the North American Chlorovinyls reporting unit along with negative chlorovinyls industry trends, we performed a quantitative assessment to determine if the fair value of this reporting unit had been reduced below its carrying value. Based on the quantitative tests performed during the third quarter of 2025, we determined that the fair value of the North American Chlorovinyls reporting unit did not exceed its carrying amount. This resulted in a non-cash goodwill impairment charge of $727 million taken in the third quarter of 2025, representing all the goodwill associated with the North American Chlorovinyls reporting unit and recognized within the PEM segment.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100"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In July 2025, President Trump signed into law the One Big Beautiful Bill Act ("OBBBA"), which includes a broad range of tax reform provisions affecting corporations. Among other changes, the OBBBA permanently reinstates the "bonus" depreciation provisions that allow for the immediate expensing of 100% of the cost of certain qualified property, permanently reinstates the elective immediate expensing of domestic research and experimental expenditures paid or incurred, and permanently relaxes the limitation on the deductibility of business interest. The OBBBA also modifies certain international tax provisions. We evaluated the impact of these tax law changes and recognized the associated income tax effects in the consolidated financial statements beginning in the third quarter of 2025. At this time, we expect these tax law changes to reduce our cash tax without materially impacting our effective income tax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of Pernis Facilities</w:t>
      </w:r>
    </w:p>
    <w:p>
      <w:pPr>
        <w:spacing w:after="0" w:line="100"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In the second and third quarter of 2025, due to the sustained deterioration of Westlake Epoxy sales volumes and prices in recent years, we permanently ceased operations of the allyl chloride (AC), epichlorohydrin (ECH), bisphenol A (BPA), liquid epoxy resin (LER) and solid epoxy resin (SER) units at our site in Pernis, the Netherlands. We continue to operate our epoxy units in the U.S., other European locations, and in Asia in order to serve our customers globally. The total costs recognized in 2025 of $247 million consisted of charges for asset retirement obligations of $98 million, contract termination and other plant closure costs of $111 million and employee severance and separation costs of $23 million, which are included in the restructuring, transaction and integration-related costs, and the write-down of inventory of $15 million, which is included as a component of cost of sales in our consolidated statement of operations. These expenses are reflected in the PEM segment operating results. We expect to incur additional costs of approximately $10 million in the future in connection with the shutdown, which we expect to complete in 2030. Asset retirement obligations and plant shutdown costs recorded represent management's best estimate based on information currently available and are subject to change as additional information becomes available.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Suzhou Huasu Plastics PVC Resin Unit Cessation of Operations</w:t>
      </w:r>
    </w:p>
    <w:p>
      <w:pPr>
        <w:spacing w:after="0" w:line="87"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 October 2025, our 95% owned joint venture Suzhou Huasu Plastics approved the shutdown of its PVC resin unit located at its plant in Suzhou, Jiangsu, China. The decision was driven by the unit's lack of long-term economic viability. We continue to operate the PVC calendar products unit at Suzhou Huasu Plastics facility. We recognized expenses of $9 million in 2025 relating to the closure, which is included in restructuring, transaction and integration-related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Trading Relationships</w:t>
      </w:r>
    </w:p>
    <w:p>
      <w:pPr>
        <w:spacing w:after="0" w:line="1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In 2025, the U.S. government announced new and expanded tariffs on products imported from other countries, with an emphasis on the countries with which the United States has the largest trade deficits, including China. Increased tariffs by the United States have led and may continue to lead to the imposition of retaliatory tariffs by other countries. Additionally, the U.S. government has threatened, announced and modified, delayed or rescinded multiple tariffs on several foreign jurisdictions, which has increased uncertainty regarding the ultimate effect of the tariffs on economic conditions. Current uncertainties about tariffs and their effects on trading relationships may affect the costs for and availability of raw materials or contribute to inflation in the markets in which we operate. Although we continue to monitor the economic effects of such announcements, as well as opportunities to mitigate their related impacts, costs and other effects associated with the tariffs remain uncertain.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Antidumping and Countervailing Duty Investigations</w:t>
      </w:r>
    </w:p>
    <w:p>
      <w:pPr>
        <w:spacing w:after="0" w:line="87"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In April 2024, the U.S. Epoxy Resin Producers Ad Hoc Coalition (the "Coalition"), of which we are a member, filed petitions with the U.S. Department of Commerce and the U.S. International Trade Commission requesting the initiation of antidumping investigations regarding imports of certain epoxy resins from China, India, South Korea, Taiwan, and Thailand and countervailing duty investigations regarding imports of the same products from China, India, South Korea, and Taiwan. In May 2025, the U.S. Department of Commerce imposed antidumping and countervailing duty orders on imports of epoxy resins from South Korea and Taiwan and an antidumping order on imports of epoxy resins from Thailand. In June 2024, the Coalition confidentially lodged an antidumping complaint with the European Commission requesting the initiation of an antidumping investigation concerning imports of epoxy resins into the European Union market originating in China, South Korea, Taiwan and Thailand. The European Commission imposed definitive duties in late July 2025 on imports of epoxy resins from China, Taiwan, and Thailand.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w:t>
      </w:r>
    </w:p>
    <w:p>
      <w:pPr>
        <w:spacing w:after="0" w:line="87"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Our HIP segment is primarily comprised of residential building products, PVC pipe and fittings, and compound products made from PVC and other polymers. Our sales are affected by the level of new home construction and home repair and remodeling activity, particularly in North America, as well as the decisions of distributors and dealers on the levels of inventory they carry, their views on product demand, their financial condition and the manner in which they choose to manage inventory risk. Since the beginning of 2024, with the stabilization of interest rates, recent interest rate cuts and the possibility of further interest rate cuts by the U.S. Federal Reserve, we expect improvement in the demand for housing products in North America. Performance of our HIP businesses generally reflects trends of building permits and housing starts in the New Residential Construction Survey by the U.S. Census Bureau and the Repair and Remodeling Index (RRI) provided by the National Association of Home Builders (the "NAHB") among others. Although we ultimately expect that the Infrastructure Investment and Jobs Act of 2021 and the preceding historically low level of residential housing construction that has resulted in an undersupply of existing housing may favorably impact our HIP segment in the long-term, the current inflationary environment impacting consumer spending and priorities and decade-high level of mortgage interest rates impacting consumer affordability are expected to have an unfavorable impact on the demand for housing construction in the near term and, as a result, our products produced by this segment. The following table presents annual historical housing starts per the U.S. Census Bureau and the 2026 and 2027 outlook per the NAHB:</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Single and Multi-</w:t>
            </w:r>
          </w:p>
        </w:tc>
        <w:tc>
          <w:tcPr>
            <w:tcW w:w="1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From Prior</w:t>
            </w:r>
          </w:p>
        </w:tc>
        <w:tc>
          <w:tcPr>
            <w:tcW w:w="0" w:type="dxa"/>
            <w:vAlign w:val="bottom"/>
          </w:tcPr>
          <w:p>
            <w:pPr>
              <w:spacing w:after="0"/>
              <w:rPr>
                <w:sz w:val="1"/>
                <w:szCs w:val="1"/>
                <w:color w:val="auto"/>
              </w:rPr>
            </w:pPr>
          </w:p>
        </w:tc>
      </w:tr>
      <w:tr>
        <w:trPr>
          <w:trHeight w:val="145"/>
        </w:trPr>
        <w:tc>
          <w:tcPr>
            <w:tcW w:w="8260" w:type="dxa"/>
            <w:vAlign w:val="bottom"/>
            <w:gridSpan w:val="2"/>
            <w:vMerge w:val="restart"/>
          </w:tcPr>
          <w:p>
            <w:pPr>
              <w:ind w:left="38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family Housing Starts</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6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of units)</w:t>
            </w:r>
          </w:p>
        </w:tc>
        <w:tc>
          <w:tcPr>
            <w:tcW w:w="100" w:type="dxa"/>
            <w:vAlign w:val="bottom"/>
          </w:tcPr>
          <w:p>
            <w:pPr>
              <w:spacing w:after="0"/>
              <w:rPr>
                <w:sz w:val="16"/>
                <w:szCs w:val="16"/>
                <w:color w:val="auto"/>
              </w:rPr>
            </w:pPr>
          </w:p>
        </w:tc>
        <w:tc>
          <w:tcPr>
            <w:tcW w:w="144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22"/>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5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9"/>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540" w:type="dxa"/>
            <w:vAlign w:val="bottom"/>
            <w:tcBorders>
              <w:bottom w:val="single" w:sz="8" w:color="CCEEFF"/>
            </w:tcBorders>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Outlook</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 Outlook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w:t>
      </w:r>
    </w:p>
    <w:p>
      <w:pPr>
        <w:spacing w:after="0" w:line="87"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Our PEM segment manufactures products such as ethylene, PE, chlor-alkali, chlorinated derivative products, ethylene dichloride, VCM and PVC, many of which are used in our integrated vinyls production chain. The chlor-alkali and petrochemical industries exhibit cyclical commodity characteristics, and margins are influenced by changes in the balance between global supply and demand and the resulting operating rates, the level of general economic activity, turnaround activities and the price of raw materials. Since the second half of 2022, we have continued to experience lower prices, increased supply and weaker demand for most of our performance and essential materials products globally. The ongoing conflict between Russia and Ukraine, the conflict in the Middle East, slow economic growth in China and Europe, increases in base epoxy resin exports out of Asia into European and North American markets, lower margins in Europe due to increases in conversion costs, disruption of trade flows due to enactment of duties and tariffs and related uncertainties, overcapacity of PVC resin, polyethylene, chlor-alkali and epoxy, and volatility in natural gas, electricity and crude oil prices could have a continuing negative impact on the performance of PEM businesses.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85"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(loss) before interest expense, income taxes, depreciation and amortization. We define Free Cash Flow as net cash provided by operating activities less additions to property, plant and equipment. The non-GAAP financial measures described in this Form 10-K are not substitutes for the GAAP measures of earnings and cash flows.</w:t>
      </w:r>
    </w:p>
    <w:p>
      <w:pPr>
        <w:spacing w:after="0" w:line="114"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EBITDA is included in this Form 10-K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33" w:lineRule="exact"/>
        <w:rPr>
          <w:sz w:val="20"/>
          <w:szCs w:val="20"/>
          <w:color w:val="auto"/>
        </w:rPr>
      </w:pPr>
    </w:p>
    <w:p>
      <w:pPr>
        <w:ind w:right="40" w:firstLine="395"/>
        <w:spacing w:after="0" w:line="289" w:lineRule="auto"/>
        <w:rPr>
          <w:sz w:val="20"/>
          <w:szCs w:val="20"/>
          <w:color w:val="auto"/>
        </w:rPr>
      </w:pPr>
      <w:r>
        <w:rPr>
          <w:rFonts w:ascii="Times New Roman" w:cs="Times New Roman" w:eastAsia="Times New Roman" w:hAnsi="Times New Roman"/>
          <w:sz w:val="16"/>
          <w:szCs w:val="16"/>
          <w:color w:val="auto"/>
        </w:rPr>
        <w:t>Free Cash Flow is included in this Form 10-K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0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EBITDA and Free Cash Flow are not substitutes for the GAAP measures of net income (loss), income (loss) from operations and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 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(loss) or income (loss) from operations. For instance, it applies the entire cost of capital expenditure in the period in which the property or equipment is acquired, rather than spreading it over several periods as is the case with net income (loss) and income from operations.</w:t>
      </w:r>
    </w:p>
    <w:p>
      <w:pPr>
        <w:spacing w:after="0" w:line="13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Reconciliations of EBITDA to net income (loss), income (loss)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table below and descriptions that follow represent the consolidated results of operations of the Company for the years ended December 31, 2025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4" w:lineRule="exact"/>
        <w:rPr>
          <w:sz w:val="20"/>
          <w:szCs w:val="20"/>
          <w:color w:val="auto"/>
        </w:rPr>
      </w:pPr>
    </w:p>
    <w:p>
      <w:pPr>
        <w:ind w:right="280" w:firstLine="395"/>
        <w:spacing w:after="0" w:line="250" w:lineRule="auto"/>
        <w:rPr>
          <w:sz w:val="20"/>
          <w:szCs w:val="20"/>
          <w:color w:val="auto"/>
        </w:rPr>
      </w:pPr>
      <w:r>
        <w:rPr>
          <w:rFonts w:ascii="Times New Roman" w:cs="Times New Roman" w:eastAsia="Times New Roman" w:hAnsi="Times New Roman"/>
          <w:sz w:val="18"/>
          <w:szCs w:val="18"/>
          <w:color w:val="auto"/>
        </w:rPr>
        <w:t>The table below presents net external sales on a disaggregated basis for our two principal operating segments. Housing Products net external sales primarily consist of sales of housing exterior and interior products, residential pipe and fittings and residential products utilizing compounds. Infrastructure Products net external sales primarily consist of sales of infrastructure related pipe and fittings and infrastructure products utilizing compounds. Performance Materials net external sales primarily consist of sales of PVC, PE and epoxy. Essential Materials net external sales primarily consist of sales of caustic soda, chlorine, styrene, and related derivative materials.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42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12"/>
        </w:trPr>
        <w:tc>
          <w:tcPr>
            <w:tcW w:w="8260" w:type="dxa"/>
            <w:vAlign w:val="bottom"/>
          </w:tcPr>
          <w:p>
            <w:pPr>
              <w:spacing w:after="0"/>
              <w:rPr>
                <w:sz w:val="18"/>
                <w:szCs w:val="18"/>
                <w:color w:val="auto"/>
              </w:rPr>
            </w:pPr>
          </w:p>
        </w:tc>
        <w:tc>
          <w:tcPr>
            <w:tcW w:w="298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r>
      <w:tr>
        <w:trPr>
          <w:trHeight w:val="24"/>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17"/>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r>
      <w:tr>
        <w:trPr>
          <w:trHeight w:val="204"/>
        </w:trPr>
        <w:tc>
          <w:tcPr>
            <w:tcW w:w="8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17"/>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r>
      <w:tr>
        <w:trPr>
          <w:trHeight w:val="21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external sales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11,170</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12,142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7"/>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income (loss) from operations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(1,578)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Westlake Corporation</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(1,508)</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6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2"/>
                <w:szCs w:val="22"/>
                <w:color w:val="auto"/>
                <w:vertAlign w:val="superscript"/>
              </w:rPr>
              <w:t>(1)</w:t>
            </w:r>
          </w:p>
        </w:tc>
        <w:tc>
          <w:tcPr>
            <w:tcW w:w="880" w:type="dxa"/>
            <w:vAlign w:val="bottom"/>
            <w:tcBorders>
              <w:bottom w:val="single" w:sz="8" w:color="auto"/>
            </w:tcBorders>
          </w:tcPr>
          <w:p>
            <w:pPr>
              <w:jc w:val="right"/>
              <w:ind w:right="678"/>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674"/>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2"/>
                <w:szCs w:val="22"/>
                <w:color w:val="auto"/>
                <w:vertAlign w:val="superscript"/>
              </w:rPr>
              <w:t>(2)</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480" w:right="40" w:hanging="475"/>
        <w:spacing w:after="0" w:line="268" w:lineRule="auto"/>
        <w:tabs>
          <w:tab w:leader="none" w:pos="4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EBITDA to Net Income (Loss), Income (Loss) from Operations and Net Cash Provided by Operating Activities" below.</w:t>
      </w:r>
    </w:p>
    <w:p>
      <w:pPr>
        <w:spacing w:after="0" w:line="11" w:lineRule="exact"/>
        <w:rPr>
          <w:rFonts w:ascii="Times New Roman" w:cs="Times New Roman" w:eastAsia="Times New Roman" w:hAnsi="Times New Roman"/>
          <w:sz w:val="18"/>
          <w:szCs w:val="18"/>
          <w:color w:val="auto"/>
        </w:rPr>
      </w:pPr>
    </w:p>
    <w:p>
      <w:pPr>
        <w:ind w:left="480" w:right="420" w:hanging="475"/>
        <w:spacing w:after="0" w:line="268" w:lineRule="auto"/>
        <w:tabs>
          <w:tab w:leader="none" w:pos="4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8"/>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198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Average Sales</w:t>
            </w:r>
          </w:p>
        </w:tc>
        <w:tc>
          <w:tcPr>
            <w:tcW w:w="12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940" w:type="dxa"/>
            <w:vAlign w:val="bottom"/>
            <w:gridSpan w:val="5"/>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Average Sales</w:t>
            </w:r>
          </w:p>
        </w:tc>
        <w:tc>
          <w:tcPr>
            <w:tcW w:w="120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19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60" w:type="dxa"/>
            <w:vAlign w:val="bottom"/>
            <w:gridSpan w:val="3"/>
            <w:vMerge w:val="continue"/>
          </w:tcPr>
          <w:p>
            <w:pPr>
              <w:spacing w:after="0"/>
              <w:rPr>
                <w:sz w:val="16"/>
                <w:szCs w:val="16"/>
                <w:color w:val="auto"/>
              </w:rPr>
            </w:pPr>
          </w:p>
        </w:tc>
        <w:tc>
          <w:tcPr>
            <w:tcW w:w="19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Net sales percentage change from prior-year due to average</w:t>
            </w:r>
          </w:p>
        </w:tc>
        <w:tc>
          <w:tcPr>
            <w:tcW w:w="1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sales price and volume</w:t>
            </w: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average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366"/>
        </w:trPr>
        <w:tc>
          <w:tcPr>
            <w:tcW w:w="4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6"/>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Domestic US prices percentage change from prior-year period for fuel cost and feedstock</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to Net Income (Loss), Income (Loss) from Operations and Net Cash Provided by Operating Activities</w:t>
      </w:r>
    </w:p>
    <w:p>
      <w:pPr>
        <w:spacing w:after="0" w:line="100"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reconciliation of EBITDA to net income (loss), income (loss) from operations and net cash provided by operating activities, the most directly comparable GAAP financial measures, for each of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46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12"/>
        </w:trPr>
        <w:tc>
          <w:tcPr>
            <w:tcW w:w="8260" w:type="dxa"/>
            <w:vAlign w:val="bottom"/>
          </w:tcPr>
          <w:p>
            <w:pPr>
              <w:spacing w:after="0"/>
              <w:rPr>
                <w:sz w:val="18"/>
                <w:szCs w:val="18"/>
                <w:color w:val="auto"/>
              </w:rPr>
            </w:pPr>
          </w:p>
        </w:tc>
        <w:tc>
          <w:tcPr>
            <w:tcW w:w="2460" w:type="dxa"/>
            <w:vAlign w:val="bottom"/>
            <w:gridSpan w:val="4"/>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520" w:type="dxa"/>
            <w:vAlign w:val="bottom"/>
          </w:tcPr>
          <w:p>
            <w:pPr>
              <w:spacing w:after="0"/>
              <w:rPr>
                <w:sz w:val="18"/>
                <w:szCs w:val="18"/>
                <w:color w:val="auto"/>
              </w:rPr>
            </w:pPr>
          </w:p>
        </w:tc>
      </w:tr>
      <w:tr>
        <w:trPr>
          <w:trHeight w:val="24"/>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(1,471)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Less: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(1,578)</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04"/>
        </w:trPr>
        <w:tc>
          <w:tcPr>
            <w:tcW w:w="8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Add:</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Provided by Operating Activities</w:t>
      </w:r>
    </w:p>
    <w:p>
      <w:pPr>
        <w:spacing w:after="0" w:line="100" w:lineRule="exact"/>
        <w:rPr>
          <w:sz w:val="20"/>
          <w:szCs w:val="20"/>
          <w:color w:val="auto"/>
        </w:rPr>
      </w:pPr>
    </w:p>
    <w:p>
      <w:pPr>
        <w:ind w:right="52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reconciliation of Free Cash Flow to net cash provided by operating activities, the most directly comparable GAAP financial measure, for each of the periods indicated.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5495" cy="142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42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Free Cash Flow</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340" w:type="dxa"/>
            <w:vAlign w:val="bottom"/>
          </w:tcPr>
          <w:p>
            <w:pPr>
              <w:spacing w:after="0"/>
              <w:rPr>
                <w:sz w:val="18"/>
                <w:szCs w:val="18"/>
                <w:color w:val="auto"/>
              </w:rPr>
            </w:pPr>
          </w:p>
        </w:tc>
        <w:tc>
          <w:tcPr>
            <w:tcW w:w="264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r>
      <w:tr>
        <w:trPr>
          <w:trHeight w:val="247"/>
        </w:trPr>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639"/>
              <w:spacing w:after="0"/>
              <w:rPr>
                <w:sz w:val="20"/>
                <w:szCs w:val="20"/>
                <w:color w:val="auto"/>
              </w:rPr>
            </w:pPr>
            <w:r>
              <w:rPr>
                <w:rFonts w:ascii="Times New Roman" w:cs="Times New Roman" w:eastAsia="Times New Roman" w:hAnsi="Times New Roman"/>
                <w:sz w:val="18"/>
                <w:szCs w:val="18"/>
                <w:color w:val="auto"/>
                <w:w w:val="96"/>
              </w:rPr>
              <w:t>465</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448"/>
        </w:trPr>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8"/>
                <w:szCs w:val="18"/>
                <w:color w:val="auto"/>
                <w:w w:val="96"/>
              </w:rPr>
              <w:t>995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17"/>
        </w:trPr>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8"/>
                <w:szCs w:val="18"/>
                <w:color w:val="auto"/>
                <w:w w:val="97"/>
              </w:rPr>
              <w:t>(530)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18"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Compared with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year ended December 31, 2025, net loss attributable to Westlake Corporation was $1,508 million, or $11.70 per diluted share, on net sales of</w:t>
      </w:r>
    </w:p>
    <w:p>
      <w:pPr>
        <w:spacing w:after="0" w:line="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$11,170 million. These results represent a decrease in net income attributable to Westlake Corporation of $2,110 million, or $16.34 per diluted share, compared to 2024 net income attributable to Westlake Corporation of $602 million, or $4.64 per diluted share, on net sales of $12,142 million. Loss from operations was $1,578 million for the year ended December 31, 2025, as compared to income from operations of $875 million for the year ended December 31, 2024, a decrease of $2,453 million. The decrease in net income and income from operations was primarily due to lower sales prices for many of our products across both segments, including PVC resin, polyethylene, chlorine and pipe and fittings, lower sales volumes for PVC resin, epoxy resin, polyethylene, caustic soda, chlorine, compounds and building products and higher energy and feedstock costs in the year ended December 31, 2025. The decrease in net income and income from operations in the year ended December 31, 2025 was also due to the recognition of a non-cash impairment charge of $727 million related to North American Chlorovinyls goodwill, the recognition of closure costs of $393 million related to the chlor-alkali and VCM plants at our Lake Charles facilities, the PVC plant at our Aberdeen facility and the styrene plant at our Lake Charles facility, the recognition of closure costs of $247 million related to the base epoxy resins and intermediate resin units at our Pernis facility located in the Netherlands and closure costs of $9 million related to the PVC unit at the Suzhou Huasu Plastics plant located in China, all under the PEM segment. These decreases were slightly offset by higher compounds sales prices and higher pipe and fittings sales volumes. Net sales decreased by $972 million to $11,170 million in 2025 from $12,142 million in 2024, primarily due to lower sales prices for PVC resin, polyethylene, chlorine and pipe and fittings, and lower sales volumes for PVC resin, epoxy resin, polyethylene, caustic soda, chlorine, compounds and building products, which were partially offset by higher compounds sales prices and pipe and fittings sales volumes.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r>
      <w:tr>
        <w:trPr>
          <w:trHeight w:val="191"/>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3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Sales volumes decreased by 5% in 2025 as compared to 2024, primarily due to lower sales volumes for PVC resin, epoxy resin, polyethylene, caustic soda, chlorine, compounds and building products, which were partially offset by higher pipe and fittings sales volumes. Average sales prices for 2025 decreased by 3% as compared to 2024, primarily as a result of lower sales prices for PVC resin, polyethylene, chlorine and pipe and fittings, which were partially offset by higher compounds sales prices.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5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91"/>
        </w:trPr>
        <w:tc>
          <w:tcPr>
            <w:tcW w:w="50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3"/>
              </w:rPr>
              <w:t>1,957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8"/>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margin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12"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The decrease in gross margin for the year ended December 31, 2025 as compared to the year ended December 31, 2024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sales volumes and prices for most of our products across both segments and higher energy and feedstock costs for the year ended December 31, 2025 as compared to the year ended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r>
      <w:tr>
        <w:trPr>
          <w:trHeight w:val="191"/>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230" w:lineRule="exact"/>
        <w:rPr>
          <w:sz w:val="20"/>
          <w:szCs w:val="20"/>
          <w:color w:val="auto"/>
        </w:rPr>
      </w:pPr>
    </w:p>
    <w:p>
      <w:pPr>
        <w:ind w:right="220" w:firstLine="395"/>
        <w:spacing w:after="0" w:line="335" w:lineRule="auto"/>
        <w:rPr>
          <w:sz w:val="20"/>
          <w:szCs w:val="20"/>
          <w:color w:val="auto"/>
        </w:rPr>
      </w:pPr>
      <w:r>
        <w:rPr>
          <w:rFonts w:ascii="Times New Roman" w:cs="Times New Roman" w:eastAsia="Times New Roman" w:hAnsi="Times New Roman"/>
          <w:sz w:val="16"/>
          <w:szCs w:val="16"/>
          <w:i w:val="1"/>
          <w:iCs w:val="1"/>
          <w:color w:val="auto"/>
        </w:rPr>
        <w:t xml:space="preserve">Selling, General and Administrative Expenses. </w:t>
      </w:r>
      <w:r>
        <w:rPr>
          <w:rFonts w:ascii="Times New Roman" w:cs="Times New Roman" w:eastAsia="Times New Roman" w:hAnsi="Times New Roman"/>
          <w:sz w:val="16"/>
          <w:szCs w:val="16"/>
          <w:color w:val="auto"/>
        </w:rPr>
        <w:t>The increase in selling, general and administrative expenses in 2025 as compared to 2024 was primarily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due to higher legal and other consulting costs and higher technology-related expenses, partially offset by lower payroll and related benefits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goodwill and long-lived assets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0" w:lineRule="exact"/>
        <w:rPr>
          <w:sz w:val="20"/>
          <w:szCs w:val="20"/>
          <w:color w:val="auto"/>
        </w:rPr>
      </w:pPr>
    </w:p>
    <w:p>
      <w:pPr>
        <w:ind w:right="76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and Long-Lived Assets. </w:t>
      </w:r>
      <w:r>
        <w:rPr>
          <w:rFonts w:ascii="Times New Roman" w:cs="Times New Roman" w:eastAsia="Times New Roman" w:hAnsi="Times New Roman"/>
          <w:sz w:val="18"/>
          <w:szCs w:val="18"/>
          <w:color w:val="auto"/>
        </w:rPr>
        <w:t>The impairment of $727 million in 2025 represents the North American Chlorovinyls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charge recognized within the PEM segment. No similar impairment charge was recognized in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r>
      <w:tr>
        <w:trPr>
          <w:trHeight w:val="191"/>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 xml:space="preserve">Amortization of Intangibles. </w:t>
      </w:r>
      <w:r>
        <w:rPr>
          <w:rFonts w:ascii="Times New Roman" w:cs="Times New Roman" w:eastAsia="Times New Roman" w:hAnsi="Times New Roman"/>
          <w:sz w:val="16"/>
          <w:szCs w:val="16"/>
          <w:color w:val="auto"/>
        </w:rPr>
        <w:t>Amortization expense was slightly higher in 2025 as compared to 2024 due to an increase in technology related capitalized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4"/>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1"/>
        </w:trPr>
        <w:tc>
          <w:tcPr>
            <w:tcW w:w="5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r>
    </w:tbl>
    <w:p>
      <w:pPr>
        <w:spacing w:after="0" w:line="230"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in 2025 primarily comprised of 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of $386 million related to our chlor-alkali and VCM plants at our Lake Charles, Louisiana facilities, our PVC plant at our Aberdeen, Mississippi facility and our styrene plant at our Lake Charles facility, closure costs of $232 million related to the Pernis, Netherlands facility and closure costs of $9 million related to the PVC resin unit at the Suzhou Huasu Plastics plant located in China, all under the PEM segment, as well as certain other restructuring costs under the HIP segment. The 2024 restructuring, transaction and integration-related costs primarily consisted of $75 million related to the temporary idling ("mothballing") of the Pernis facility, which was closed in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30" w:lineRule="exact"/>
        <w:rPr>
          <w:sz w:val="20"/>
          <w:szCs w:val="20"/>
          <w:color w:val="auto"/>
        </w:rPr>
      </w:pPr>
    </w:p>
    <w:p>
      <w:pPr>
        <w:ind w:right="36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2025 was higher compared to 2024, primarily due to the issuance of $600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5.550% senior notes due 2035 and $600 million aggregate principal amount of 6.375% senior notes due 2055 in November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16"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in 2025 as compared to 2024 primarily due to a reduction of $53 million of interest income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Company's lower average cash and cash equivalent balances as well as lower interest rates in 2025 as compared to 2024 and the recognition of higher insurance recoveries in 2024 as compared to 2025, partially offset by a gain of $32 million recognized in 2025, resulting from settlement of a portion of the Company's pension benefits liability.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2600" w:type="dxa"/>
            <w:vAlign w:val="bottom"/>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4"/>
        </w:trPr>
        <w:tc>
          <w:tcPr>
            <w:tcW w:w="8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4"/>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291</w:t>
            </w:r>
          </w:p>
        </w:tc>
      </w:tr>
      <w:tr>
        <w:trPr>
          <w:trHeight w:val="22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r>
    </w:tbl>
    <w:p>
      <w:pPr>
        <w:spacing w:after="0" w:line="230" w:lineRule="exact"/>
        <w:rPr>
          <w:sz w:val="20"/>
          <w:szCs w:val="20"/>
          <w:color w:val="auto"/>
        </w:rPr>
      </w:pPr>
    </w:p>
    <w:p>
      <w:pPr>
        <w:ind w:right="1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tax rate in 2025 was lower compared to 2024 primarily due to the non-deductible goodwill impairment charge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North American Chlorovinyls reporting unit, a valuation allowance recorded against Westlake Epoxy Netherlands's net operating loss, and the impact of earnings mix across jurisdictions associated with the pre-tax losses in 2025. Income taxes were a benefit in 2025 due to the loss in the year as compared to the tax expense associated with the income in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5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30" w:lineRule="exact"/>
        <w:rPr>
          <w:sz w:val="20"/>
          <w:szCs w:val="20"/>
          <w:color w:val="auto"/>
        </w:rPr>
      </w:pPr>
    </w:p>
    <w:p>
      <w:pPr>
        <w:ind w:right="1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Average sales prices for the HIP segment decreased by 1% in 2025 as compared to 2024, primarily due to lower sales prices for pipe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fittings, partially offset by higher compounds sales prices. Sales volumes for the HIP segment decreased by 3% in 2025 as compared to 2024, primarily due to lower compounds and building products sales volumes, partially offset by higher pipe and fittings sales volumes.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0" w:lineRule="exact"/>
        <w:rPr>
          <w:sz w:val="20"/>
          <w:szCs w:val="20"/>
          <w:color w:val="auto"/>
        </w:rPr>
      </w:pPr>
    </w:p>
    <w:p>
      <w:pPr>
        <w:ind w:right="3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The decrease in income from operations in 2025, as compared to 2024, was primarily due to lower sales prices for pipe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fittings and lower sales volumes for compounds and building products, as well as restructuring costs of $16 million incurred under our asset optimization initiatives, partially offset by higher pipe and fittings sales volumes and higher compounds sales prices.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5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30"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Average sales prices for the PEM segment decreased by 4% in 2025 as compared to 2024. Sales volumes for the PEM segment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in 2025 as compared to 2024, primarily due to lower PVC resin, epoxy resin, polyethylene, caustic soda and chlorine sales volumes. Lower Performance Materials sales prices were primarily due to lower PVC resin and polyethylene sales prices. Lower Essential Materials sales prices were primarily due to lower chlorine sales prices.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1"/>
        </w:trPr>
        <w:tc>
          <w:tcPr>
            <w:tcW w:w="5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bl>
    <w:p>
      <w:pPr>
        <w:spacing w:after="0" w:line="216" w:lineRule="exact"/>
        <w:rPr>
          <w:sz w:val="20"/>
          <w:szCs w:val="20"/>
          <w:color w:val="auto"/>
        </w:rPr>
      </w:pPr>
    </w:p>
    <w:p>
      <w:pPr>
        <w:ind w:right="140"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Income (loss) from Operations</w:t>
      </w:r>
      <w:r>
        <w:rPr>
          <w:rFonts w:ascii="Times New Roman" w:cs="Times New Roman" w:eastAsia="Times New Roman" w:hAnsi="Times New Roman"/>
          <w:sz w:val="16"/>
          <w:szCs w:val="16"/>
          <w:color w:val="auto"/>
        </w:rPr>
        <w:t>. Income from operations for the PEM segment decreased by $2,229 million to a loss of $2,100 million in 2025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from operations of $129 million in 2024. This decrease in income from operations was due to lower sales prices for most of our major products in this segment, particularly PVC resin, polyethylene and chlorine, lower sales volumes for PVC resin, epoxy resin, polyethylene, caustic soda and chlorine, and the impact of the Petro 1 and other planned turnaround activities, offset by the impact of fewer unplanned plant outages in 2025 and higher natural gas and feedstock costs in 2025. The decrease in income from operations was also due to the recognition of a North American Chlorovinyls non-cash goodwill impairment charge of $727 million in the third quarter of 2025, the recognition of closure costs of $393 million relating to the chlor-alkali and VCM plants at our Lake Charles facilities, the PVC plant at our Aberdeen facility and the styrene plant at our Lake Charles facility, and the recognition of closure costs of $247 million related to our Pernis facility located in the Netherlands and the PVC unit at the Suzhou Huasu Plastics plant located in China.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7"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Operating activities provided cash of $465 million in 2025 compared to cash provided by operating activities of $1,314 million in 2024. The $849 million decrease in cash flow from operating activities was mainly due to lower prices and demand for most of our products and cash used in connection with the turnaround of the Petro 1 ethylene facility in Lake Charles, partially offset by a favorable change in working capital in 2025. The favorable change in working capital in 2025 was substantially driven by the higher accrued and other liabilities which were due to the accrual of North American Chlorovinyls and Styrene facilities closure costs and Pernis facility closure costs in 2025 and lower inventory levels in 2025 as compared to 2024, partially offset by the cash outflows related to a payment to Triad Hunter, LLC, which was accrued in 2023, to resolve litigation in the third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Net cash used for investing activities during 2025 was $1,223 million compared to net cash used of $1,001 million in 2024. The increase in cash used for investing activities in 2025 as compared to 2024 was primarily related to the purchase of $272 million of investments comprising corporate bonds and U.S. government debt securities, offset by redemptions and paydowns of $68 million, among others. Capital expenditures were $995 million in 2025 as compared to $1,008 million in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Net cash provided by financing activities during 2025 was $530 million as compared to net cash used by financing activities of $650 million in 2024. The increase in cash provided by financing activities was due to registered public offering of $600 million aggregate principal amount of 5.550% senior notes due 2035 and $600 million aggregate principal amount of 6.375% senior notes due 2055 in November 2025. We used a portion of the net proceeds from the offering to fund the repurchase of $254 million aggregate principal amount of our outstanding 3.60% 2026 Senior Notes pursuant to a cash tender offer. The financing activities in 2025 also included the payment of $272 million of cash dividends, the repurchase of $63 million of our outstanding common stock for treasury and $51 million of cash distributions to noncontrolling interests. The financing activities in 2024 included the redemption of $300 million aggregate principal amount of the 0.875% senior notes due 2024, $264 million payment of cash dividends and $49 million of cash distributions to noncontrolling interests and the repurchase of $60 million of our outstanding common stock for treasury.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Our principal sources of liquidity are from cash and cash equivalents, cash from operations, short-term borrowings under the Credit Agreement and our long-term financings.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In November 2014, our Board of Directors authorized a $250 million stock repurchase program (as expanded from time to time, the "2014 Program"). Subsequently, the Board approved three expansions of the 2014 Program in November 2015, August 2018 and August 2022, by an additional $150 million, $150 million and $500 million, respectively. During the year ended December 31, 2025, 725,652 shares of our common stock were repurchased for an aggregate purchase price of $63 million under the 2014 Program. As of December 31, 2025, we had repurchased 9,928,283 shares of our common stock for an aggregate purchase price of approximately $697 million under the 2014 Program.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38"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were issued under this program in 2025, 2024 or 2023.</w:t>
      </w:r>
    </w:p>
    <w:p>
      <w:pPr>
        <w:spacing w:after="0" w:line="13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believe that our sources of liquidity as described above are adequate to fund normal operations and ongoing capital expenditures, turnaround activities and the upcoming repayment of the 3.60% 2026 Senior Notes in 2026. Funding of any potential large expansions such as our recent acquisitions or potential future acquisitions or the redemption of debt may likely necessitate, and therefore depend on our ability to obtain, additional financing in the future. We may not be able to access additional liquidity at favorable interest rates due to volatility of the commercial credit markets.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our cash and cash equivalents totaled $2,724 million.</w:t>
      </w:r>
    </w:p>
    <w:p>
      <w:pPr>
        <w:spacing w:after="0" w:line="161"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our available-for-sale securities totaled $204 million. See Note 2 "Financial Instruments" to Consolidated Financial Statements appearing elsewhere in this Form 10-K for a discussion of our available-for-sale securities.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to our cash and cash equivalents, our credit agreement is available to provide liquidity as needed, as described under "Debt"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0"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the carrying value of our indebtedness totaled $5,584 million. See Note 10 "Long-Term Debt" to Consolidated Financial Statements appearing elsewhere in this Form 10-K for a discussion of our long-term indebtedness. Defined terms used in this section have the definitions assigned to such terms in Note 10 "Long-Term Debt" to Consolidated Financial Statements appearing elsewhere in this Form 10-K.</w:t>
      </w:r>
    </w:p>
    <w:p>
      <w:pPr>
        <w:spacing w:after="0" w:line="127" w:lineRule="exact"/>
        <w:rPr>
          <w:sz w:val="20"/>
          <w:szCs w:val="20"/>
          <w:color w:val="auto"/>
        </w:rPr>
      </w:pPr>
    </w:p>
    <w:p>
      <w:pPr>
        <w:ind w:right="100" w:firstLine="395"/>
        <w:spacing w:after="0" w:line="247"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our credit agreement will be adequate to meet our normal operating needs for the foreseeable future. In order to reduce future cash interest payments, as well as future amounts due at maturity or upon redemption, we or our affiliates may from time to time seek to redeem, repurchase or otherwise acquire our outstanding debt securities through open market purchases, privately negotiated transactions, tender offers or pursuant to the terms of such securities. Such acquisitions, if any, will be upon such terms and at such prices as we may determine, and will depend on prevailing market conditions, our liquidity requirements, contractual restrictions and other factors. The amounts involved in any such transactions, individually or in the aggregate, may be material.</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2025 Notes Offering and Concurrent Tender Offer</w:t>
      </w:r>
    </w:p>
    <w:p>
      <w:pPr>
        <w:spacing w:after="0" w:line="85"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In November 2025, we completed the registered public offering of $600 million aggregate principal amount of 5.550% senior notes due 2035 and $600 million aggregate principal amount of 6.375% senior notes due 2055. We used a portion of the net proceeds from the offering to fund the repurchase of a portion of our outstanding 3.60% 2026 Senior Notes pursuant to a concurrent cash tender offer for any and all of such notes and to fund the purchase price of the ACI acquisition. See "Recent Developments"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98" w:lineRule="exact"/>
        <w:rPr>
          <w:sz w:val="20"/>
          <w:szCs w:val="20"/>
          <w:color w:val="auto"/>
        </w:rPr>
      </w:pPr>
    </w:p>
    <w:p>
      <w:pPr>
        <w:ind w:right="380" w:firstLine="395"/>
        <w:spacing w:after="0" w:line="286" w:lineRule="auto"/>
        <w:rPr>
          <w:sz w:val="20"/>
          <w:szCs w:val="20"/>
          <w:color w:val="auto"/>
        </w:rPr>
      </w:pPr>
      <w:r>
        <w:rPr>
          <w:rFonts w:ascii="Times New Roman" w:cs="Times New Roman" w:eastAsia="Times New Roman" w:hAnsi="Times New Roman"/>
          <w:sz w:val="16"/>
          <w:szCs w:val="16"/>
          <w:color w:val="auto"/>
        </w:rPr>
        <w:t>The holders of the 3.60% 2026 Senior Notes, the 1.625% 2029 Senior Notes, the 3.375% 2030 Senior Notes, the 3.50% 2032 tax-exempt GO Zone Refunding Senior Notes, the 5.550% 2035 Senior Notes, the 2.875% 2041 Senior Notes, the 5.00% 2046 Senior Notes, the 4.375% 2047 Senior Notes, the</w:t>
      </w:r>
    </w:p>
    <w:p>
      <w:pPr>
        <w:ind w:right="100"/>
        <w:spacing w:after="0" w:line="245" w:lineRule="auto"/>
        <w:rPr>
          <w:sz w:val="20"/>
          <w:szCs w:val="20"/>
          <w:color w:val="auto"/>
        </w:rPr>
      </w:pPr>
      <w:r>
        <w:rPr>
          <w:rFonts w:ascii="Times New Roman" w:cs="Times New Roman" w:eastAsia="Times New Roman" w:hAnsi="Times New Roman"/>
          <w:sz w:val="18"/>
          <w:szCs w:val="18"/>
          <w:color w:val="auto"/>
        </w:rPr>
        <w:t>3.125% 2051 Senior Notes, the 6.375% 2055 Senior Notes and the 3.375% 2061 Senior Notes may require us to repurchase the notes at a price equal to 101% of their principal amount, plus accrued and unpaid interest to, but not including, the date of repurchase, upon the occurrence of both a "change of control" and, within 60 days of such change of control, a "below investment grade rating event" (as such terms are defined in the respective indentures governing these notes).</w:t>
      </w:r>
    </w:p>
    <w:p>
      <w:pPr>
        <w:spacing w:after="0" w:line="137"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The indenture governing the 3.60% 2026 Senior Notes, the 1.625% 2029 Senior Notes, the 3.375% 2030 Senior Notes, the 3.50% 2032 tax-exempt GO Zone Refunding Senior Notes, the 5.550% 2035 Senior Notes, the 2.875% 2041 Senior Notes, the 5.00% 2046 Senior Notes, the 4.375% 2047 Senior Notes, the 3.125% 2051 Senior Notes, the 6.375% 2055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we were in compliance with all of our long-term debt covenants.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On June 9, 2022, we entered into a $1.5 billion revolving credit facility that is scheduled to mature on June 9, 2027 (the "Credit Agreement") and, in connection therewith, terminated our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December 31, 2025, we were in compliance with the total leverage ratio financial maintenance covenant.</w:t>
      </w:r>
    </w:p>
    <w:p>
      <w:pPr>
        <w:spacing w:after="0" w:line="133" w:lineRule="exact"/>
        <w:rPr>
          <w:sz w:val="20"/>
          <w:szCs w:val="20"/>
          <w:color w:val="auto"/>
        </w:rPr>
      </w:pPr>
    </w:p>
    <w:p>
      <w:pPr>
        <w:ind w:right="320" w:firstLine="395"/>
        <w:spacing w:after="0" w:line="252" w:lineRule="auto"/>
        <w:rPr>
          <w:sz w:val="20"/>
          <w:szCs w:val="20"/>
          <w:color w:val="auto"/>
        </w:rPr>
      </w:pPr>
      <w:r>
        <w:rPr>
          <w:rFonts w:ascii="Times New Roman" w:cs="Times New Roman" w:eastAsia="Times New Roman" w:hAnsi="Times New Roman"/>
          <w:sz w:val="18"/>
          <w:szCs w:val="18"/>
          <w:color w:val="auto"/>
        </w:rPr>
        <w:t>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our subsidiaries are required to guarantee our obligations under the Credit Agreement.</w:t>
      </w:r>
    </w:p>
    <w:p>
      <w:pPr>
        <w:spacing w:after="0" w:line="13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Credit Arrangements</w:t>
      </w:r>
    </w:p>
    <w:p>
      <w:pPr>
        <w:spacing w:after="0" w:line="87" w:lineRule="exact"/>
        <w:rPr>
          <w:sz w:val="20"/>
          <w:szCs w:val="20"/>
          <w:color w:val="auto"/>
        </w:rPr>
      </w:pP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Our subsidiary, Westlake Chemical Finance Corporation, is the lender party to a $600 million revolving credit facility with Westlake Chemical Partners LP ("Westlake Partners") (the "MLP Revolver") that is scheduled to mature on July 12, 2027. As of December 31, 2025,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13"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Our subsidiary, Westlake Polymers LLC, is the administrative agent to a $600 million revolving credit facility with Westlake Chemical OpCo LP ("OpCo") (the "OpCo Revolver") that is scheduled to mature on July 12, 2027. As of December 31, 2025,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4" w:lineRule="exact"/>
        <w:rPr>
          <w:sz w:val="20"/>
          <w:szCs w:val="20"/>
          <w:color w:val="auto"/>
        </w:rPr>
      </w:pPr>
    </w:p>
    <w:p>
      <w:pPr>
        <w:ind w:right="380" w:firstLine="395"/>
        <w:spacing w:after="0" w:line="332" w:lineRule="auto"/>
        <w:rPr>
          <w:sz w:val="20"/>
          <w:szCs w:val="20"/>
          <w:color w:val="auto"/>
        </w:rPr>
      </w:pPr>
      <w:r>
        <w:rPr>
          <w:rFonts w:ascii="Times New Roman" w:cs="Times New Roman" w:eastAsia="Times New Roman" w:hAnsi="Times New Roman"/>
          <w:sz w:val="16"/>
          <w:szCs w:val="16"/>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0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Company's material cash requirements for contractual and other obligations in the near term (next 12 months) and the long term period (beyond the next 12 months) include long-term debt, interest payments, operating leases, pension benefits funding, post-retirement healthcare benefits, purchase obligations, asset retirement obligations and letters of credit.</w:t>
      </w:r>
    </w:p>
    <w:p>
      <w:pPr>
        <w:spacing w:after="0" w:line="125"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As of December 31, 2025, we had $497 million of debt obligations due within the near term, and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$5,183 million due over the long-term period. At December 31, 2025, long-term debt related interest expense of $222 million was due within the near term, and related interest expense of $3,796 million was due over the long-term period. Maturities of our debt consist of $497 million in 2026, $11 million in 2027, $822 million in 2029 and $300 million in 2030. There are no other scheduled maturities of debt in 2026 through 2030. See Note 10, "Long-Term Debt," in the Notes to Consolidated Financial Statements in Item 8 of this Form 10-K for further information on our debt obligations and the expected timing of future principal and interest payments.</w:t>
      </w:r>
    </w:p>
    <w:p>
      <w:pPr>
        <w:spacing w:after="0" w:line="133" w:lineRule="exact"/>
        <w:rPr>
          <w:sz w:val="20"/>
          <w:szCs w:val="20"/>
          <w:color w:val="auto"/>
        </w:rPr>
      </w:pPr>
    </w:p>
    <w:p>
      <w:pPr>
        <w:jc w:val="both"/>
        <w:ind w:right="1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As of December 31, 2025, there was $166 million in operating lease obligations due within the near term, and $847 million due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long-term period. See Note 6, "Leases," in the Notes to Consolidated Financial Statements in Item 8 of this Form 10-K for further detail of our obligations and the timing of expected future payments.</w:t>
      </w:r>
    </w:p>
    <w:p>
      <w:pPr>
        <w:spacing w:after="0" w:line="125" w:lineRule="exact"/>
        <w:rPr>
          <w:sz w:val="20"/>
          <w:szCs w:val="20"/>
          <w:color w:val="auto"/>
        </w:rPr>
      </w:pPr>
    </w:p>
    <w:p>
      <w:pPr>
        <w:ind w:right="2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Pension Benefits Funding and Post-retirement Healthcare Benefits. </w:t>
      </w:r>
      <w:r>
        <w:rPr>
          <w:rFonts w:ascii="Times New Roman" w:cs="Times New Roman" w:eastAsia="Times New Roman" w:hAnsi="Times New Roman"/>
          <w:sz w:val="16"/>
          <w:szCs w:val="16"/>
          <w:color w:val="auto"/>
        </w:rPr>
        <w:t>Pension benefits funding obligations due within the near term were $18 million while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post-retirement healthcare benefit payment obligations due within the near term were $5 million as of December 31, 2025. As of December 31, 2025, we had $118 million and $49 million of pension benefit funding and post-retirement healthcare benefit obligations due over the long-term period, respectively. The estimate of the timing of future payments under our defined benefit pension plans which cover certain eligible employees in the United States and non-U.S. countries and our post-retirement healthcare benefits to the employees of certain subsidiaries who meet certain minimum age and service requirements involves the use of certain assumptions, including retirement ages and payout periods. See Note 13, "Employee Benefits," in the Notes to Consolidated Financial Statements in Item 8 of this Form 10-K for further information on our obligations and the timing of expected future payments.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Purchase obligations include agreements to purchase goods and services that are enforceable and legally binding and that specify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significant terms, including a minimum quantity and price. We are party to various obligations to purchase goods and services, including commitments to purchase various feedstock, utilities, nitrogen, oxygen, product storage, pipeline usage and logistic support, in each case in the ordinary course of our business, as well as various purchase commitments for our capital projects. As of December 31, 2025, we had $2,668 million of enforceable and legally binding purchase commitments due within the near term, and $4,499 million due over the long-term period.</w:t>
      </w:r>
    </w:p>
    <w:p>
      <w:pPr>
        <w:spacing w:after="0" w:line="133"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Asset retirement obligations include the estimated costs and timing of payments to satisfy our recognized asset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We recognize asset retirement obligations in the period in which the liability becomes probable and reasonably estimable. Initially, the asset retirement obligation is recorded at fair value and capitalized as a component of the carrying value of the long-lived asset to which the obligation relates. See Note 18 "Supplemental Information" to Consolidated Financial Statements appearing elsewhere in this Form 10-K, under Asset Retirement Obligations, for further details of our asset retirement obligation, and under Restructuring, Transaction and Integration-related Costs, for details on asset retirement obligation recognized in 2025.</w:t>
      </w:r>
    </w:p>
    <w:p>
      <w:pPr>
        <w:spacing w:after="0" w:line="133" w:lineRule="exact"/>
        <w:rPr>
          <w:sz w:val="20"/>
          <w:szCs w:val="20"/>
          <w:color w:val="auto"/>
        </w:rPr>
      </w:pPr>
    </w:p>
    <w:p>
      <w:pPr>
        <w:ind w:right="280" w:firstLine="395"/>
        <w:spacing w:after="0" w:line="335" w:lineRule="auto"/>
        <w:rPr>
          <w:sz w:val="20"/>
          <w:szCs w:val="20"/>
          <w:color w:val="auto"/>
        </w:rPr>
      </w:pPr>
      <w:r>
        <w:rPr>
          <w:rFonts w:ascii="Times New Roman" w:cs="Times New Roman" w:eastAsia="Times New Roman" w:hAnsi="Times New Roman"/>
          <w:sz w:val="16"/>
          <w:szCs w:val="16"/>
          <w:i w:val="1"/>
          <w:iCs w:val="1"/>
          <w:color w:val="auto"/>
        </w:rPr>
        <w:t xml:space="preserve">Letters of Credit. </w:t>
      </w:r>
      <w:r>
        <w:rPr>
          <w:rFonts w:ascii="Times New Roman" w:cs="Times New Roman" w:eastAsia="Times New Roman" w:hAnsi="Times New Roman"/>
          <w:sz w:val="16"/>
          <w:szCs w:val="16"/>
          <w:color w:val="auto"/>
        </w:rPr>
        <w:t>As of December 31, 2025, we had $45 million standby letters of credit, made in the ordinary course of business, maturing within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near term, and no standby letters of credit maturing over the long-term period. We had no letters of credit outstanding under our Credit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87"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preparing the accompanying consolidated financial statements and related notes and believe those policies are reasonable and appropriate. Our significant accounting policies are summarized in Note 1 "Description of Business and Significant Accounting Policies" to Consolidated Financial Statements appearing elsewhere in this Form 10-K.</w:t>
      </w:r>
    </w:p>
    <w:p>
      <w:pPr>
        <w:spacing w:after="0" w:line="133"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Critical accounting estimates are those estimates made in accordance with the accounting principles generally accepted in the United States ("GAAP") that involve a significant level of estimation uncertainty and have had or are reasonably likely to have a material impact on our financial condition or results of operation. Our more critical accounting estimates include those related to business combinations, fair values, long-lived assets, goodwill, accruals for long-term employee benefits, income taxes and environmental and legal obligations. Inherent in such estimates are certain key assumptions. We periodically update the estimates used in preparing the financial statements based on our latest assessment of the current and projected business and general economic environment. We believe the following to be our most critical accounting estimates required for preparing our financial statements.</w:t>
      </w:r>
    </w:p>
    <w:p>
      <w:pPr>
        <w:spacing w:after="0" w:line="104" w:lineRule="exact"/>
        <w:rPr>
          <w:sz w:val="20"/>
          <w:szCs w:val="20"/>
          <w:color w:val="auto"/>
        </w:rPr>
      </w:pPr>
    </w:p>
    <w:p>
      <w:pPr>
        <w:ind w:right="20"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Business Combinations and Intangible Assets Including Goodwill. </w:t>
      </w:r>
      <w:r>
        <w:rPr>
          <w:rFonts w:ascii="Times New Roman" w:cs="Times New Roman" w:eastAsia="Times New Roman" w:hAnsi="Times New Roman"/>
          <w:sz w:val="16"/>
          <w:szCs w:val="16"/>
          <w:color w:val="auto"/>
        </w:rPr>
        <w:t>We account for business combinations using the acquisition method of accounting,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Any subsequent changes to any purchase price allocations that are material to our consolidated financial results will be adjusted in the same period's financial statements, including the effect on earnings of changes in depreciation, amortization or other income effects, if any, as a result of the change to the provisional amounts, calculated as if the accounting had been completed at the acquisition date. All acquisition costs are expensed as incurred, and in-process research and development costs are recorded at fair value as an indefinite-lived intangible asset and assessed for impairment thereafter until completion, at which point the asset is amortized over its expected useful life. The application of business combination accounting requires the use of significant estimates and assumptions. Our estimates of fair value are based upon assumptions we believe to be reasonable, but which are inherently uncertain and unpredictable. The fair value of the customer relationships acquired are estimated by management through a discounted cash flow model using the multi-period excess earnings methodology, which involves the use of significant estimates and assumptions related to revenue growth rates, operating margins, discount rates, and customer attrition rates, among other items. The fair value of the technology and trade names acquired is estimated by management through a discounted cash flow model using the relief from royalty methodology, which involves the use of significant estimates and assumptions related to revenue growth rates, and discount rates. The results of operations of acquired businesses are included in our consolidated financial statements from the acquisition date.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8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Fair Value Estimates. </w:t>
      </w:r>
      <w:r>
        <w:rPr>
          <w:rFonts w:ascii="Times New Roman" w:cs="Times New Roman" w:eastAsia="Times New Roman" w:hAnsi="Times New Roman"/>
          <w:sz w:val="16"/>
          <w:szCs w:val="16"/>
          <w:color w:val="auto"/>
        </w:rPr>
        <w:t>We develop estimates of fair value to allocate the purchase price paid to acquire a business to the assets acquired and liabilities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assumed in an acquisition, to assess impairment of long-lived assets and goodwill and to record marketable securities and pension plan assets. We use all available information to make these fair value determinations, including the engagement of third-party consultants. In addition, we record all pension plan assets and certain marketable securities at fair value. The fair value of these items is determined by quoted market prices or from observable market-based inputs. See Note 15 "Fair Value Measurements" to Consolidated Financial Statements appearing elsewhere in this Form 10-K for more information.</w:t>
      </w:r>
    </w:p>
    <w:p>
      <w:pPr>
        <w:spacing w:after="0" w:line="103"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Key estimates related to long-lived assets include useful lives, recoverability of carrying values and existence of any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Such estimates could be significantly modified. The carrying values of long-lived assets could be impaired by significant changes or projected changes in supply and demand fundamentals (which could have a negative impact on operating rates or margins), new technological developments, new competitors with significant raw material or other cost advantages, adverse changes associated with the United States and global economies, the cyclical nature of the chemical and refining industries and uncertainties associated with governmental actions.</w:t>
      </w:r>
    </w:p>
    <w:p>
      <w:pPr>
        <w:spacing w:after="0" w:line="135"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are assessed for impairment by asset group, the lowest level for which identifiable cash flows are largely independent of the cash flows of other groups of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34"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The estimated useful lives of long-lived assets range from one to forty years. Depreciation and amortization of these assets, including amortization of deferred turnaround costs, under the straight-line method over their estimated useful lives totaled $1,178 million, $1,114 million and $1,097 million in 2025, 2024 and 2023, respectively. If the useful lives of the assets were found to be shorter than originally estimated, depreciation or amortization charges would be accelerated.</w:t>
      </w:r>
    </w:p>
    <w:p>
      <w:pPr>
        <w:spacing w:after="0" w:line="13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defer the costs of planned major maintenance activities, or turnarounds, and amortize the costs over the period until the next planned turnaround of the affected unit. Total costs deferred on turnarounds were $246 million, $114 million and $179 million in 2025, 2024 and 2023, respectively. As of December 31, 2025, deferred turnaround costs, net of accumulated amortization, totaled $433 million. Amortization in 2025, 2024 and 2023 of deferred turnaround costs was $165 million, $153 million and $137 million, respectively. Expensing turnaround costs as incurred would likely result in greater variability of our quarterly operating results and would adversely affect our financial position and results of operations. We commenced the next planned maintenance turnaround at our Petro 1 ethylene facility in the first quarter of 2025.</w:t>
      </w:r>
    </w:p>
    <w:p>
      <w:pPr>
        <w:spacing w:after="0" w:line="133"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Additional information concerning long-lived assets and related depreciation and amortization appears in Note 5 "Property, Plant and Equipment" and Note 7 "Goodwill and Other Intangible Assets" to Consolidated Financial Statements appearing elsewhere in this Form 10-K.</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At December 31, 2025, our recorded goodwill was $1,314 million. Goodwill is evaluated for impairment when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the fair value of a reporting unit with goodwill has been reduced below its carrying amount, and otherwise at least annually. We perform our annual impairment assessment for both the PEM and HIP reporting units in the fourth quarter each year.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w:t>
      </w:r>
    </w:p>
    <w:p>
      <w:pPr>
        <w:spacing w:after="0" w:line="136"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As part of our continuous assessment of changes in the macroeconomic environment in the performance and essential materials industry and recent operating performance and updated forecasts, we identified triggering events associated with the North American Chlorovinyls reporting unit in the third quarter of 2025. Due to the recent operating losses and downward revision in the third quarter 2025 of forecasts for the North American Chlorovinyls reporting unit along with negative chlorovinyls industry trends, the Company performed a quantitative assessment in the third quarter of 2025 to determine if the fair value of this reporting unit had reduced below its carrying amount. We also performed a quantitative impairment assessment in the third quarter of 2025 for all other reporting units within the Performance and Essential Materials and the HIP segments to assess the overall fair value of the Company as compared to our market capitalization.</w:t>
      </w:r>
    </w:p>
    <w:p>
      <w:pPr>
        <w:spacing w:after="0" w:line="134"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The fair values of the reporting units were determined using a weighting of both a discounted cash flow methodology and a market value methodology. The fair values of the reporting units were classified as Level 3 of the fair value hierarchy due to the significance of unobservable inputs developed using company-specific information. Both of these methodologies require estimates, assumptions, and judgments about future results. Our analysis is based on our internally developed long-range plan, which is developed from historical results, estimates by management of future market conditions, current and future strategic and operational plans and future financial performance. Significant assumptions used in the discounted cash flow methodology include projected sales volumes based on production capacities and operating rates, product selling prices, capital expenditures, depreciation expense, working capital investment, discount rates, tax rates, terminal growth rates and earnings before interest expense, income taxes, depreciation and amortization expense (EBITDA) margins, inclusive of feedstock, energy and power costs. Significant assumptions used in the market value methodology include EBITDA, weighting of periods, market participant acquisition premium and the estimated multiples of EBITDA buyers are willing to pay in the marketplace.</w:t>
      </w:r>
    </w:p>
    <w:p>
      <w:pPr>
        <w:spacing w:after="0" w:line="114" w:lineRule="exact"/>
        <w:rPr>
          <w:sz w:val="20"/>
          <w:szCs w:val="20"/>
          <w:color w:val="auto"/>
        </w:rPr>
      </w:pPr>
    </w:p>
    <w:p>
      <w:pPr>
        <w:jc w:val="both"/>
        <w:ind w:right="560" w:firstLine="395"/>
        <w:spacing w:after="0" w:line="256" w:lineRule="auto"/>
        <w:rPr>
          <w:sz w:val="20"/>
          <w:szCs w:val="20"/>
          <w:color w:val="auto"/>
        </w:rPr>
      </w:pPr>
      <w:r>
        <w:rPr>
          <w:rFonts w:ascii="Times New Roman" w:cs="Times New Roman" w:eastAsia="Times New Roman" w:hAnsi="Times New Roman"/>
          <w:sz w:val="18"/>
          <w:szCs w:val="18"/>
          <w:color w:val="auto"/>
        </w:rPr>
        <w:t>Based on the quantitative tests performed during the third quarter of 2025, we determined that the fair value of the North American Chlorovinyls reporting unit did not exceed its carrying amount resulting in a non-cash goodwill impairment charge of $727 million taken in the third quarter of 2025, representing all the goodwill associated with the North American Chlorovinyls reporting unit recognized.</w:t>
      </w:r>
    </w:p>
    <w:p>
      <w:pPr>
        <w:spacing w:after="0" w:line="127"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We performed a qualitative assessment for the purposes of 2025 annual goodwill impairment analysis for each of the reporting units within the HIP and PEM segments during the fourth quarter of 2025. As part of the qualitative assessment performed in the fourth quarter of 2025, no triggering events were identified that would require the performance of quantitative assessment.</w:t>
      </w:r>
    </w:p>
    <w:p>
      <w:pPr>
        <w:spacing w:after="0" w:line="127"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Based on the quantitative tests performed during the third quarter of 2024, the fair value of each of the reporting units with goodwill, except for the North American Chlorovinyls reporting unit, were in excess of the carrying amounts. See Note 1 "Description of Business and Significant Accounting Policies" and Note 7 "Goodwill and Other Intangible Assets" in Notes to Consolidated Financial Statements for further details. Based on the quantitative tests performed during the third quarter of 2025, for all reporting units with goodwill, except for the North American Chlorovinyls reporting unit, even if the fair values of the reporting units decreased by 10% from the fair values determined for the quantitative tests, the carrying amounts of the reporting units would not have exceeded their fair values. See Item 1A, "Risk Factors—If our goodwill or other long-lived assets become impaired in the future, we may be required to record non-cash charges to earnings, which could be significant."</w:t>
      </w:r>
    </w:p>
    <w:p>
      <w:pPr>
        <w:spacing w:after="0" w:line="132"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Long-Term Employee Benefit Costs. </w:t>
      </w:r>
      <w:r>
        <w:rPr>
          <w:rFonts w:ascii="Times New Roman" w:cs="Times New Roman" w:eastAsia="Times New Roman" w:hAnsi="Times New Roman"/>
          <w:sz w:val="18"/>
          <w:szCs w:val="18"/>
          <w:color w:val="auto"/>
        </w:rPr>
        <w:t>Our costs for long-term employee benefits, particularly pension and postretirement medical and life benefits,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over long periods of time and involve many uncertainties over those periods. The net periodic benefit cost attributable to current periods is based on several assumptions about such future uncertainties and is sensitive to changes in those assumptions. It is our responsibility, often with the assistance of independent experts, to select assumptions that represent the best estimates of those uncertainties. It is also our responsibility to review those assumptions periodically and, if necessary, adjust the assumptions to reflect changes in economic or other factors.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395"/>
        <w:spacing w:after="0" w:line="246" w:lineRule="auto"/>
        <w:rPr>
          <w:sz w:val="20"/>
          <w:szCs w:val="20"/>
          <w:color w:val="auto"/>
        </w:rPr>
      </w:pPr>
      <w:r>
        <w:rPr>
          <w:rFonts w:ascii="Times New Roman" w:cs="Times New Roman" w:eastAsia="Times New Roman" w:hAnsi="Times New Roman"/>
          <w:sz w:val="18"/>
          <w:szCs w:val="18"/>
          <w:color w:val="auto"/>
        </w:rPr>
        <w:t>Accounting for employee retirement plans involves estimating the cost of benefits that are to be provided in the future and attempting to match, for each employee, that estimated cost to the period worked. To accomplish this, we rely extensively on advice from actuaries, and we make assumptions about inflation, investment returns, mortality, employee turnover and discount rates that ultimately impact amounts recorded. Changes in these assumptions may result in different expense and liability amounts. One of the more significant assumptions relates to the discount rate for measuring benefit obligations. At December 31, 2025, the projected pension benefit obligations for U.S. and non-U.S. plans were calculated using assumed weighted average discount rates of 5.2% and 4.2%, respectively. The discount rates were determined using a benchmark pension discount curve and applying spot rates from the curve to each year of expected benefit payments to determine the appropriate discount rate. As a result of the funding relief provided by the enactment of the Bipartisan Budget Act of 2015, no minimum funding requirements are expected during 2026 for the U.S. pension plans. Additional information on the 2026 funding requirements and key assumptions underlying these benefit costs appear in Note 13 "Employee Benefits" to Consolidated Financial Statements appearing elsewhere in this Form 10-K.</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sensitivity of the benefit obligation of our pension plans to changes in the actuarial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212"/>
        </w:trPr>
        <w:tc>
          <w:tcPr>
            <w:tcW w:w="8260" w:type="dxa"/>
            <w:vAlign w:val="bottom"/>
          </w:tcPr>
          <w:p>
            <w:pPr>
              <w:spacing w:after="0"/>
              <w:rPr>
                <w:sz w:val="18"/>
                <w:szCs w:val="18"/>
                <w:color w:val="auto"/>
              </w:rPr>
            </w:pPr>
          </w:p>
        </w:tc>
        <w:tc>
          <w:tcPr>
            <w:tcW w:w="2980" w:type="dxa"/>
            <w:vAlign w:val="bottom"/>
            <w:gridSpan w:val="5"/>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r>
      <w:tr>
        <w:trPr>
          <w:trHeight w:val="24"/>
        </w:trPr>
        <w:tc>
          <w:tcPr>
            <w:tcW w:w="8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end of year</w:t>
            </w:r>
          </w:p>
        </w:tc>
        <w:tc>
          <w:tcPr>
            <w:tcW w:w="108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increases by 100 basis points</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decreases by 100 basis points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18"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A one-percentage point increase or decrease in assumed healthcare trend rates would not have a significant effect on the amounts reported for the healthcare plans.</w:t>
      </w:r>
    </w:p>
    <w:p>
      <w:pPr>
        <w:spacing w:after="0" w:line="117"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While we believe that the amounts recorded in the consolidated financial statements appearing elsewhere in this Form 10-K related to these retirement plans are based on the best estimates and judgments available, the actual outcomes could differ from these estimates.</w:t>
      </w:r>
    </w:p>
    <w:p>
      <w:pPr>
        <w:spacing w:after="0" w:line="115"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utilize the balance sheet method of accounting for deferred income taxes. Under this method, deferred tax assets or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 Additional information on income taxes appears in Note 16 "Income Taxes" to Consolidated Financial Statements appearing elsewhere in this Form 10-K.</w:t>
      </w:r>
    </w:p>
    <w:p>
      <w:pPr>
        <w:spacing w:after="0" w:line="13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Environmental and Legal Obligations. </w:t>
      </w:r>
      <w:r>
        <w:rPr>
          <w:rFonts w:ascii="Times New Roman" w:cs="Times New Roman" w:eastAsia="Times New Roman" w:hAnsi="Times New Roman"/>
          <w:sz w:val="18"/>
          <w:szCs w:val="18"/>
          <w:color w:val="auto"/>
        </w:rPr>
        <w:t>We consult with various professionals for assistance in estimating environmental costs and legal proceedings.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Note 21 "Commitments and Contingencies" to Consolidated Financial Statements appearing elsewhere in this Form 10-K.</w:t>
      </w:r>
    </w:p>
    <w:p>
      <w:pPr>
        <w:spacing w:after="0" w:line="133" w:lineRule="exact"/>
        <w:rPr>
          <w:sz w:val="20"/>
          <w:szCs w:val="20"/>
          <w:color w:val="auto"/>
        </w:rPr>
      </w:pPr>
    </w:p>
    <w:p>
      <w:pPr>
        <w:ind w:right="18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Asset Retirement Obligations. </w:t>
      </w:r>
      <w:r>
        <w:rPr>
          <w:rFonts w:ascii="Times New Roman" w:cs="Times New Roman" w:eastAsia="Times New Roman" w:hAnsi="Times New Roman"/>
          <w:sz w:val="16"/>
          <w:szCs w:val="16"/>
          <w:color w:val="auto"/>
        </w:rPr>
        <w:t>We recognize asset retirement obligations in the period in which the liability becomes probable and reasonably estimable.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Initially, the asset retirement obligation is recorded at fair value and capitalized as a component of the carrying value of the long-lived asset to which the obligation relates. The liability is recorded at its future value each period, and the capitalized cost is depreciated over the estimated useful life of the related asset. Upon settlement of the liability, a gain or loss is recorded. We have conditional asset retirement obligations for the removal and disposal of hazardous materials from certain of our manufacturing facilities. Additional information on asset retirement obligations appears in Note 1 "Description of Business and Significant Accounting Policies" and Note 18 "Supplemental Informations" to Consolidated Financial Statements appearing elsewhere in this Form 10-K.</w:t>
      </w:r>
    </w:p>
    <w:p>
      <w:pPr>
        <w:spacing w:after="0" w:line="10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We also have conditional asset retirement obligations that have not been recognized because the fair values of the conditional legal obligations cannot be measured due to the indeterminate settlement date of the obligations.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to Consolidated Financial Statements included in Item 8 of this Form 10-K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futures, forwards and options) in certain instances to reduce price volatility risk on feedstocks and products. Our commodity swap playbook positions were fully settled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7"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 are exposed to interest rate risk with respect to fixed and variable rate debt. At December 31, 2025, we had $5,668 million aggregate principal amount of fixed rate debt. We are subject to the risk of higher interest costs if and when this debt is refinanced. If interest rates were 1.0% higher at the time of refinancing, our annual interest expense would increase by approximately $57 million. Also, at December 31, 2025, we had $12 million principal amount of variable rate debt outstanding, which represents the 2026 term loans due 2026 and the tax-exempt waste disposal revenue bonds due 2027. We do not currently hedge our variable interest rate debt, but we may do so in the future. The weighted average variable interest rate for our variable rate debt of $12 million as of December 31, 2025 was 2.18%. A hypothetical 100 basis point increase in the average interest rate on our variable rate debt would not result in a material change in the interest expense.</w:t>
      </w:r>
    </w:p>
    <w:p>
      <w:pPr>
        <w:spacing w:after="0" w:line="134"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Secured Overnight Financing Rate ("SOFR") is used as a reference rate for borrowings under our revolving line of credit. We did not have any SOFR-based borrowings outstanding at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0"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We have entered into foreign exchange hedging contracts designated as net investment hedges with an aggregate notional value of €150 million as of December 31, 2025, designed to reduce the volatility in stockholders' equity from changes in currency exchange rates associated with our net investments in foreign operations. The arrangement is scheduled to settle in 2026.</w:t>
      </w:r>
    </w:p>
    <w:p>
      <w:pPr>
        <w:spacing w:after="0" w:line="113"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010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10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4"/>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00" w:type="dxa"/>
            <w:vAlign w:val="bottom"/>
          </w:tcPr>
          <w:p>
            <w:pPr>
              <w:spacing w:after="0"/>
              <w:rPr>
                <w:sz w:val="19"/>
                <w:szCs w:val="19"/>
                <w:color w:val="auto"/>
              </w:rPr>
            </w:pP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2024 and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2024 and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2025, 2024 and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31,2025, 2024 and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8"/>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32"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Financial statement schedules not included in this Form 10-K have been omitted because they are not applicable or because the required information is shown in the financial statements or notes thereto.</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2"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management of Westlake Corporation is responsible for establishing and maintaining adequate internal control over financial reporting. Westlake's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7"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Westlake management assessed the effectiveness of the Company's internal control over financial reporting as of December 31, 2025.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Based on its assessment, Westlake's management has concluded that the Company's internal control over financial reporting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as of December 31, 2025 based on those criteria.</w:t>
      </w:r>
    </w:p>
    <w:p>
      <w:pPr>
        <w:spacing w:after="0" w:line="131"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2025 as stated in their report that appears on the following page.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Westlake Corporation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4"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Westlake Corporation and its subsidiaries (the "Company") as of December 31, 2025 and 2024, and the related consolidated statements of operations, of comprehensive income, of changes in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2"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4"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6" w:lineRule="exact"/>
        <w:rPr>
          <w:sz w:val="20"/>
          <w:szCs w:val="20"/>
          <w:color w:val="auto"/>
        </w:rPr>
      </w:pPr>
    </w:p>
    <w:p>
      <w:pPr>
        <w:ind w:firstLine="395"/>
        <w:spacing w:after="0" w:line="284"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4"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4"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Goodwill Impairment Assessment — North American Chlorovinyls Reporting Unit</w:t>
      </w:r>
    </w:p>
    <w:p>
      <w:pPr>
        <w:spacing w:after="0" w:line="242"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As described in Notes 1 and 7 to the consolidated financial statements, the Company's goodwill balance was $1,314 million as of December 31, 2025, and the goodwill associated with the North American Chlorovinyls reporting unit was $0 million. Management tests goodwill for impairment when events or changes in circumstances indicate the fair value of a reporting unit with goodwill has been reduced below its carrying amount, and otherwise at least annually in the fourth quarter. During the third quarter of 2025, management identified triggering events associated with the North American Chlorovinyls reporting unit and performed a quantitative assessment to determine if the fair value of this reporting unit had reduced below its carrying amount. Based on the quantitative test performed, management determined that the fair value of the North American Chlorovinyls reporting unit did not exceed its carrying amount which resulted in a non-cash goodwill impairment charge of $727 million, representing all the goodwill associated with the North American Chlorovinyls reporting unit. The fair value of the North American Chlorovinyls reporting unit was determined using a weighting of both a discounted cash flow methodology and market value methodology. Significant assumptions used in the discounted cash flow methodology include projected sales volumes based on production capacities and operating rates, product selling prices, capital expenditures, depreciation expense, working capital investment, discount rate, tax rate, terminal growth rate, and earnings before interest expense, income taxes, depreciation and amortization expense (EBITDA) margin. Significant assumptions used in the market value methodology include EBITDA, weighting of periods, market participant acquisition premium and the estimated multiples of EBITDA buyers are willing to pay in the marketplace.</w:t>
      </w:r>
    </w:p>
    <w:p>
      <w:pPr>
        <w:spacing w:after="0" w:line="209"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interim goodwill impairment assessment of the North American Chlorovinyls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the projected sales volumes based on production capacities and operating rates, product selling prices, capital expenditures, depreciation expense, working capital investment, discount rate, tax rate, terminal growth rate, and EBITDA margin used in the discounted cash flow methodology, and EBITDA, weighting of periods, market participant acquisition premium, and the estimated multiples of EBITDA buyers are willing to pay in the marketplace used in the market value methodology;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North American Chlorovinyls reporting unit. These procedures also included, among others (i) testing management's process for developing the fair value estimate of the reporting unit; (ii) evaluating the appropriateness of the discounted cash flow and market value methodologies used by management; (iii) testing the completeness and accuracy of underlying data used in the discounted cash flow and market value methodologies; and (iv) evaluating the reasonableness of the significant assumptions used by management related to the projected sales volumes based on production capacities and operating rates, product selling prices, capital expenditures, depreciation expense, working capital investment, discount rate, tax rate, terminal growth rate, and EBITDA margin used in the discounted cash flow methodology, and EBITDA, weighting of periods, market participant acquisition premium, and the estimated multiples of EBITDA buyers are willing to pay in the marketplace used in the market value methodology. Evaluating management’s assumptions related to the projected sales volumes based on production capacities and operating rates, product selling prices, capital expenditures, depreciation expense, working capital investment, tax rate, and EBITDA margin used in the discounted cash flow methodology, and EBITDA used in the market value methodology, involved evaluating whether the assumptions used by management were reasonable considering one or more of the following (i) the current and past performance of the reporting unit; (ii) the consistency with external market and industry data; or (iii) whether the assumptions were consistent with evidence obtained in other areas of the audit. Professionals with specialized skill and knowledge were used to assist in evaluating (i) the appropriateness of the discounted cash flow and market value methodologies and (ii) the reasonableness of the discount rate and terminal growth rate used in the discounted cash flow methodology, and weighting of periods, market participant acquisition premium, and the estimated multiples of EBITDA buyers are willing to pay in the marketplace used in the market value methodology.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served as the Company's auditor since 1986, which includes periods before the Company became subject to SEC reporting requirements.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72"/>
        </w:trPr>
        <w:tc>
          <w:tcPr>
            <w:tcW w:w="826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of dollars, except</w:t>
            </w:r>
          </w:p>
        </w:tc>
        <w:tc>
          <w:tcPr>
            <w:tcW w:w="560" w:type="dxa"/>
            <w:vAlign w:val="bottom"/>
          </w:tcPr>
          <w:p>
            <w:pPr>
              <w:spacing w:after="0"/>
              <w:rPr>
                <w:sz w:val="14"/>
                <w:szCs w:val="14"/>
                <w:color w:val="auto"/>
              </w:rPr>
            </w:pPr>
          </w:p>
        </w:tc>
      </w:tr>
      <w:tr>
        <w:trPr>
          <w:trHeight w:val="190"/>
        </w:trPr>
        <w:tc>
          <w:tcPr>
            <w:tcW w:w="826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values and share amounts)</w:t>
            </w:r>
          </w:p>
        </w:tc>
        <w:tc>
          <w:tcPr>
            <w:tcW w:w="560" w:type="dxa"/>
            <w:vAlign w:val="bottom"/>
          </w:tcPr>
          <w:p>
            <w:pPr>
              <w:spacing w:after="0"/>
              <w:rPr>
                <w:sz w:val="16"/>
                <w:szCs w:val="16"/>
                <w:color w:val="auto"/>
              </w:rPr>
            </w:pPr>
          </w:p>
        </w:tc>
      </w:tr>
      <w:tr>
        <w:trPr>
          <w:trHeight w:val="229"/>
        </w:trPr>
        <w:tc>
          <w:tcPr>
            <w:tcW w:w="826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7"/>
        </w:trPr>
        <w:tc>
          <w:tcPr>
            <w:tcW w:w="8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7"/>
        </w:trPr>
        <w:tc>
          <w:tcPr>
            <w:tcW w:w="82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19,961</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20,750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0"/>
        </w:trPr>
        <w:tc>
          <w:tcPr>
            <w:tcW w:w="8260" w:type="dxa"/>
            <w:vAlign w:val="bottom"/>
            <w:shd w:val="clear" w:color="auto" w:fill="CCEEFF"/>
          </w:tcPr>
          <w:p>
            <w:pPr>
              <w:ind w:left="296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8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7"/>
        </w:trPr>
        <w:tc>
          <w:tcPr>
            <w:tcW w:w="826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10,666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 (Note 21)</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71"/>
        </w:trPr>
        <w:tc>
          <w:tcPr>
            <w:tcW w:w="82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Preferred stock, $0.01 par value, 50,000,000 shares authorized; no shares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37"/>
        </w:trPr>
        <w:tc>
          <w:tcPr>
            <w:tcW w:w="8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issued and outstanding</w:t>
            </w:r>
          </w:p>
        </w:tc>
        <w:tc>
          <w:tcPr>
            <w:tcW w:w="8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826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$0.01 par value, 300,000,000 shares authorized; 134,651,380 and</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8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134,651,380 shares issued at December 31, 2025 and 2024, respectively</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1"/>
        </w:trPr>
        <w:tc>
          <w:tcPr>
            <w:tcW w:w="82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held in treasury, at cost; 6,740,232 and 6,424,366 shares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37"/>
        </w:trPr>
        <w:tc>
          <w:tcPr>
            <w:tcW w:w="8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at December 31, 2025 and 2024, respectively</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10,481</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7"/>
        </w:trPr>
        <w:tc>
          <w:tcPr>
            <w:tcW w:w="8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Westlake Corporation stockholders' equity</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10,527</w:t>
            </w:r>
          </w:p>
        </w:tc>
      </w:tr>
      <w:tr>
        <w:trPr>
          <w:trHeight w:val="217"/>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7"/>
        </w:trPr>
        <w:tc>
          <w:tcPr>
            <w:tcW w:w="8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equity</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11,043</w:t>
            </w:r>
          </w:p>
        </w:tc>
      </w:tr>
      <w:tr>
        <w:trPr>
          <w:trHeight w:val="217"/>
        </w:trPr>
        <w:tc>
          <w:tcPr>
            <w:tcW w:w="82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19,961</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20,750</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2"/>
        </w:trPr>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 millions of dollars,</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4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except per share data and share amounts)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long-lived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Westlake Corporation</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Earnings (loss) per common share attributable to Westlake Corporation: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4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128,260,331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128,535,226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127,806,317</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128,260,331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129,206,922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128,598,441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
        </w:trPr>
        <w:tc>
          <w:tcPr>
            <w:tcW w:w="6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(1,471)</w:t>
            </w:r>
          </w:p>
        </w:tc>
        <w:tc>
          <w:tcPr>
            <w:tcW w:w="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other post-retirement benefits reserves adjustment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benefit (provision) on pension and other post-retirement benefits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4"/>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 benefit (provision) on foreign currency translation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Unrealized holding gains on investments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provision on available-for-sale investments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151"/>
        </w:trPr>
        <w:tc>
          <w:tcPr>
            <w:tcW w:w="6720" w:type="dxa"/>
            <w:vAlign w:val="bottom"/>
          </w:tcPr>
          <w:p>
            <w:pPr>
              <w:ind w:left="340"/>
              <w:spacing w:after="0" w:line="152" w:lineRule="exact"/>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7"/>
        </w:trPr>
        <w:tc>
          <w:tcPr>
            <w:tcW w:w="67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of tax of $2, $2 and $3 for 2025, 2024 and 2023, respectively</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Westlake Corporation</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0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2080" w:type="dxa"/>
            <w:vAlign w:val="bottom"/>
            <w:gridSpan w:val="5"/>
            <w:vMerge w:val="continue"/>
          </w:tcPr>
          <w:p>
            <w:pPr>
              <w:spacing w:after="0"/>
              <w:rPr>
                <w:sz w:val="16"/>
                <w:szCs w:val="16"/>
                <w:color w:val="auto"/>
              </w:rPr>
            </w:pPr>
          </w:p>
        </w:tc>
        <w:tc>
          <w:tcPr>
            <w:tcW w:w="20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9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Balances at December</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134,651,380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7,278,651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(1,050,656)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4"/>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51"/>
        </w:trPr>
        <w:tc>
          <w:tcPr>
            <w:tcW w:w="194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Balances at December</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134,651,380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4"/>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51"/>
        </w:trPr>
        <w:tc>
          <w:tcPr>
            <w:tcW w:w="194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Balances at December</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134,651,380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4"/>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51"/>
        </w:trPr>
        <w:tc>
          <w:tcPr>
            <w:tcW w:w="194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Balances at December</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134,651,380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6,740,232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31"/>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
        </w:trPr>
        <w:tc>
          <w:tcPr>
            <w:tcW w:w="6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(1,471)</w:t>
            </w:r>
          </w:p>
        </w:tc>
        <w:tc>
          <w:tcPr>
            <w:tcW w:w="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71"/>
        </w:trPr>
        <w:tc>
          <w:tcPr>
            <w:tcW w:w="672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Loss from disposition and write-off of assets and accelerated depreciation and</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goodwill and long-lived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investments in unconsolidated subsidiaries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paydown of available-for-sale securities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senior notes issuance,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redemption of senior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treasury</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600" w:firstLine="5"/>
        <w:spacing w:after="0" w:line="344" w:lineRule="auto"/>
        <w:tabs>
          <w:tab w:leader="none" w:pos="1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Westlake Corporation (the "Company") operates as an integrated global manufacturer and marketer of housing and infrastructure products and performance and essential materials. These products include some of the most widely used materials in the world, which are fundamental to many diverse consumer and industrial markets, including residential construction, flexible and rigid packaging, automotive products, healthcare products, water treatment, coatings as well as other durable and non-durable goods. The Company's customers range from large chemical processors and plastics fabricators to small construction contractors, municipalities and supply warehouses throughout North America, Europe and Asia. The industries in which the Company operates are subject to price fluctuations and volatile feedstock pricing typical of a commodity-based industry, the effects of which may not be immediately passed along to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w:t>
      </w:r>
    </w:p>
    <w:p>
      <w:pPr>
        <w:spacing w:after="0" w:line="87"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In 2014, the Company formed Westlake Chemical Partners LP ("Westlake Partners") to operate, acquire and develop ethylene production facilities and related assets. Westlake Partners' assets consist of a limited partner interest in Westlake Chemical OpCo LP ("OpCo"), as well as the general partner interest in OpCo. OpCo's assets include two ethylene production facilities at the Company's Lake Charles, Louisiana site, one ethylene production facility at the Company's Calvert City, Kentucky site and a 200-mile common carrier ethylene pipeline that runs from Mont Belvieu, Texas to the Company's Longview, Texas site. As of December 31, 2025, the Company held a 77.2% limited partner interest in OpCo and a controlling interest in Westlake Partners. The operations of Westlake Partners are consolidated in the Company's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0"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subsidiaries in which the Company directly or indirectly owns more than a 50% voting interest and exercises control and, when applicable, entities for which the Company has a controlling financial interest or is the primary beneficiary. Investments in majority-owned companies where the Company does not exercise control and investments in nonconsolidated affiliates (20%-50% owned companies, joint ventures and partnerships) are accounted for using the equity method of accounting. Undistributed earnings from joint ventures included in retained earnings were immaterial as of December 31, 2025. All intercompany transactions and balances are eliminated in consolidation.</w:t>
      </w:r>
    </w:p>
    <w:p>
      <w:pPr>
        <w:spacing w:after="0" w:line="103"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Noncontrolling interests represent the direct equity interests held by investors in the Company's consolidated subsidiaries, Westlake Partners, Taiwan Chlorine Industries, Ltd. and Suzhou Huasu Plastics Co., Ltd.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0"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the accounting principles generally accepted in the United States.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7"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Cash equivalents consist of highly liquid investments that are readily convertible into cash and have a maturity of three months or less at the date of acquisition.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0"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risk consist principally of trade receivables from customers engaged in manufacturing polyethylene products, polyvinyl chloride ("PVC") products, epoxy products, chlor-alkali and derivative products as well as housing and infrastructure products such as consumers and distributors of compounds, PVC pipe and fittings, trim and mouldings, stone, windows, roofing and exterior products. The Company's large number of customers, the diversity of these customers' businesses and the markets they serve and customers geographic dispersion limits the concentrations of credit risk with respect to receivables. The Company performs periodic credit evaluations of the customers' financial condition and generally does not require collateral. The Company maintains allowances for potential losses.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8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determination of the allowance for credit losses is based on estimation of the amount of accounts receivable that the Company believes are unlikely to be collected. Estimating this amount requires analysis of the financial strength of the Company's customers, the use of historical experience, the Company's accounts receivable aged trial balance, customer specific collectability analysis and an evaluation of economic conditions. The allowance for credit losses is reviewed quarterly. Past due balances over 90 days and high-risk accounts as determined by the analysis of financial strength of customers are reviewed individually for collectability.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00"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The investments portfolio in securities are classified as available-for-sale. The Company views its available-for-sale securities as available for use in current operations. Accordingly, the Company classifies its investments as current assets, irrespective of the maturity date. Available-for-sale securities are carried at estimated fair value with unrealized gains and losses recorded in accumulated other comprehensive income (loss), which is a separate component of stockholders' equity. Realized gains and losses and amounts reclassified out of accumulated other comprehensive income (loss) are recorded in other income in the consolidated statement of operations. The Company periodically reviews its available-for-sale securities for other-than-temporary declines in fair value below the cost basis, and when events or changes in circumstances indicate the carrying value of an asset may not be recoverable, the investment is written down to fair value, establishing a new cost basis. The Company periodically reviews available-for-sale securities to assess for credit losses based on historical experience, current conditions, investment type and other relevant market data.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0"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Inventories primarily include product, material and supplies. Inventories are stated at lower of cost or net realizable value. Cost is determined using the first-in, first-out ("FIFO") or average method.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87"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 Capitalized interest was $10, $13 and $8 for the years ended December 31, 2025, 2024 and 2023, respectively. Repair and maintenance costs are charged to operations as incurred. Gains and losses on the disposition or retirement of fixed assets are reflected in the consolidated statement of operations when the assets are sold or retired.</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is provided by utilizing the straight-line method over the estimated useful lives of the assets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4"/>
        </w:trPr>
        <w:tc>
          <w:tcPr>
            <w:tcW w:w="9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4"/>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00"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The Company reviews long-lived assets, including tangible assets and intangible assets with finite lives, for impairment whenever events or changes in circumstances indicate that the carrying amount of an asset may not be recoverable. Long-lived assets assessed for impairment are grouped by asset group, the lowest level for which identifiable cash flows are largely independent of the cash flows of other groups of assets and liabilities. Recoverability of assets to be held and used is measured by a comparison of the carrying amount of an asset to future net undiscounted cash flows expected to be generated by the asset group from its use and eventual disposition of that asset group.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 Intangible assets with finite lives are amortized over their estimated useful lives and evaluated with the associated long-lived asset group for impairment whenever impairment indicators exist.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87"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Goodwill is tested for impairment at least annually, or when events or changes in circumstances indicate the fair value of a reporting unit with goodwill has been reduced below its carrying amount. The Company performed its annual goodwill impairment tests for each of the reporting units within the Performance and Essential Materials and Housing and Infrastructure Products segments in the fourth quarter of 2025. See Note 7 for more information on the Company's annual goodwill impairment tests.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0"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The Company accounts for investments using the equity method of accounting if the Company has the ability to exercise significant influence over, but not control of, an investee. Significant influence generally exists if the Company has an ownership interest representing between 20% and 50% of the voting rights. Under the equity method of accounting, investments are stated initially at cost and are adjusted for subsequent additional investments and the proportionate share of profit or losses and distributions. The Company records its share of the profits or losses of the equity investments, net of income taxes, in the Company's consolidated statements of operations. The equity method investments are evaluated for impairment when events or changes in circumstances indicate, in management's judgment, that the carrying value of such investments may have experienced an other-than-temporary decline in value. When evidence of loss in value has occurred, management compares the estimated fair value of the investment to the carrying value of the investment to determine whether an impairment has occurred. If the estimated fair value is less than the carrying value and management considers the decline in value to be other-than-temporary, the excess of the carrying value over the estimated fair value is recognized in the consolidated financial statements as an impairment.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assets, net include turnaround costs, investments in unconsolidated subsidiaries, restricted cash, deferred charges and other long-term assets.</w:t>
      </w:r>
    </w:p>
    <w:p>
      <w:pPr>
        <w:spacing w:after="0" w:line="161"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The Company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typically range from three to eight years. Deferred turnaround costs are presented as a component of other assets, net. The cash outflows related to these costs are included in operating activities in the Company's consolidated statement of 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8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records business combinations using the acquisition method of accounting. Under the acquisition method of accounting, identifiable assets acquired and liabilities assumed are recorded at their acquisition 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0" w:lineRule="exact"/>
        <w:rPr>
          <w:sz w:val="20"/>
          <w:szCs w:val="20"/>
          <w:color w:val="auto"/>
        </w:rPr>
      </w:pPr>
    </w:p>
    <w:p>
      <w:pPr>
        <w:jc w:val="both"/>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 utilizes the balance sheet method of accounting for deferred income taxes. Under this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87"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Assets and liabilities of foreign subsidiaries are translated to U.S. dollars at the exchange rate as of the end of the year. Statement of operations items are translated at the average exchange rate for each month of the year. The resulting translation adjustment is recorded as a separate component of stockholders' equity.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0"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Revenue is recognized when the Company transfers control of inventories to its customers. Amounts recognized as revenues reflect the consideration to which the Company expects to be entitled in exchange for those inventories. Provisions for discounts, rebates and returns are incorporated in the estimate of variable consideration and reflected as a reduction to revenue in the same period as the related sales.</w:t>
      </w:r>
    </w:p>
    <w:p>
      <w:pPr>
        <w:spacing w:after="0" w:line="127"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Control of inventories generally transfers upon shipment for domestic sales. The Company excludes taxes collected on behalf of customers from the estimated contract price. For export contracts, the point at which control passes to the customer varies depending on the terms specified in the customer contract.</w:t>
      </w:r>
    </w:p>
    <w:p>
      <w:pPr>
        <w:spacing w:after="0" w:line="127" w:lineRule="exact"/>
        <w:rPr>
          <w:sz w:val="20"/>
          <w:szCs w:val="20"/>
          <w:color w:val="auto"/>
        </w:rPr>
      </w:pPr>
    </w:p>
    <w:p>
      <w:pPr>
        <w:ind w:right="100" w:firstLine="395"/>
        <w:spacing w:after="0" w:line="284" w:lineRule="auto"/>
        <w:rPr>
          <w:sz w:val="20"/>
          <w:szCs w:val="20"/>
          <w:color w:val="auto"/>
        </w:rPr>
      </w:pPr>
      <w:r>
        <w:rPr>
          <w:rFonts w:ascii="Times New Roman" w:cs="Times New Roman" w:eastAsia="Times New Roman" w:hAnsi="Times New Roman"/>
          <w:sz w:val="16"/>
          <w:szCs w:val="16"/>
          <w:color w:val="auto"/>
        </w:rPr>
        <w:t>The Company generally invoices customers and recognizes revenue and accounts receivable upon transferring control of inventories. In limited circumstances, the Company transfers control of inventories shortly before it has an unconditional right to receive consideration, resulting in recognition of contract assets. The Company also receives advance payments from certain customers, resulting in recognition of contract liabilities. Contract assets are generally settled within the period and are not material to the consolidated balance sheets. The Company expenses sales commissions when incurred. These costs are recorded within selling, general and administrative expenses. Aside from the amounts disclosed within Note 8 and Note 18, the Company does not disclose the value of unsatisfied performance obligations because its contracts with customers (1) have an original expected duration of one year or less or (2) have only variable consideration that is calculated based on market prices at specified dates and is allocated to wholly unsatisfied performance obligations.</w:t>
      </w:r>
    </w:p>
    <w:p>
      <w:pPr>
        <w:spacing w:after="0" w:line="108"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Revenue from Contracts with Customers ("ASC 606") requires disclosure of disaggregated revenue into categories that depict the nature of how the Company's revenue and cash flows are affected by economic factors. The Company discloses revenues by business and segment in Note 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0"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Company is obligated under various long-term and short-term operating leases for rail cars, buildings, land and other transportation and storage assets. The Company determines whether an arrangement is, or contains, a lease at contract inception. Some of the Company's arrangements contain both lease and non-lease components. For certain transportation equipment leases, the Company accounts for the lease and non-lease components as a single lease component. The Company records right-of-use assets and corresponding lease liabilities for operating leases with terms greater than one year. Operating lease right-of-use assets and liabilities are recorded at the present value of the fixed lease payments over the life of the lease. The majority of the Company's leases do not provide an implicit rate. Therefore, the Company uses its incremental borrowing rate at lease commencement to measure operating lease right-of-use assets and lease liabilities. Certain of the Company's leases provide for renewal and purchase options. Renewal and purchase options are evaluated at lease commencement and included in the lease term if they are reasonably certain to be exercised. Short-term leases are recognized in rental expense on a straight-line basis over the lease term and are not recorded in the consolidated balance sheets. The Company's finance leases are not material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Freight</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Amounts billed to customers for freight and handling costs on outbound shipments are included in net sales in the consolidated statements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and freight costs incurred by the Company on outbound shipments are included in cost of sales in the consolidated statements of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Risk Management</w:t>
      </w:r>
    </w:p>
    <w:p>
      <w:pPr>
        <w:spacing w:after="0" w:line="100"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Company recognizes derivative instruments on the balance sheet at fair value, and changes in a derivative's fair value are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 The derivative instruments did not have a material impact on the Company's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00"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asset retirement obligations in the period in which the liability becomes probable and reasonably estimable. Recognized asset retirement obligations are initially recorded at fair value and capitalized as a component of the carrying value of the long-lived asset to which the obligation relates. The liability is accreted to its future value each period, and the capitalized cost is depreciated over the estimated useful life of the related asset. Upon settlement of the liability, a gain or loss is recorded. See Note 18 for asset retirement obligation activity during the periods presented.</w:t>
      </w:r>
    </w:p>
    <w:p>
      <w:pPr>
        <w:spacing w:after="0" w:line="131"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Company has conditional asset retirement obligations for the removal and disposal of hazardous materials from certain of the Company's manufacturing facilities that have not been recognized because the fair values of the conditional legal obligations cannot be measured due to the indeterminate settlement date of the obligations.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Legal Obligations</w:t>
      </w:r>
    </w:p>
    <w:p>
      <w:pPr>
        <w:spacing w:after="0" w:line="87"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Environmental costs relating to current operations are expensed or capitalized, as appropriate, depending on whether such costs provide future economic benefits. Environmental remediation and legal liabilities are recognized when the costs are considered probable and can be reasonably estimated. Measurement of environmental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Company's best estimate of its final pro rata share of the liability. For legal loss contingencies that are not probable but reasonably possible, the Company discloses an estimate of the possible loss, range of loss or a statement that such estimate cannot be made. If the loss contingency is probable but not reasonably estimable, the Company discloses a statement that such estimate cannot be made. Estimating contingent losses is inherently subjective in nature and involves judgment and estimates. As a result, actual losses may differ, potentially materially, from recognized or disclosed estimates.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0"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87"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provides warranties for certain products, primarily under the housing and infrastructure segment, against defects in material and performance. The accrual for warranty claims is recorded at the time of sale based on historical warranty claims experience. These accruals are updated over time based on claim experience and other assessments of expected future defects and claims. Warranty liabilities are included in Accrued and other liabilities in the Company's consolidated balance sheets. See Note 18 for warranty activity during the periods presented.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 (ASU 2025-10)</w:t>
      </w:r>
    </w:p>
    <w:p>
      <w:pPr>
        <w:spacing w:after="0" w:line="85"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In December 2025, the FASB issued an accounting standards update to establish authoritative guidance on recognition, measurement, presentation, and disclosure of government grants received by business entities. The amendments define government grants as transfers of monetary or tangible non-monetary assets from a government to a business entity (excluding exchange transactions) and leverages principles from IAS 20 while tailoring certain U.S. GAAP requirements. The amendments are effective for annual periods beginning after December 15, 2028, for public business entities, with early adoption is permitted. The transition options include modified prospective, modified retrospective, or full retrospective. The Company is in the process of evaluating the impact of this standard on the Company's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Improvements (ASU 2025-09)</w:t>
      </w:r>
    </w:p>
    <w:p>
      <w:pPr>
        <w:spacing w:after="0" w:line="98"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In November 2025, the FASB issued an accounting standards update to clarify and improve certain aspects of hedge accounting guidance in ASC 815. The amendments address five specific areas: (1) similar risk assessment for cash flow hedges, (2) hedging interest payments on choose-your-rate debt, (3) cash flow hedges of nonfinancial forecasted transactions, (4) net written options as hedging instruments, and (5) foreign currency-denominated debt designated as both a hedging instrument and hedged item. The amendments more closely align hedge accounting with the economics of an entity's risk management activities. The amendments are effective for annual periods beginning after December 15, 2026, for public business entities with early adoption permitted. Entities should apply the new guidance prospectively. The Company is in the process of evaluating the impact of this standard on the Company's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 (ASU 2025-06)</w:t>
      </w:r>
    </w:p>
    <w:p>
      <w:pPr>
        <w:spacing w:after="0" w:line="98"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an accounting standards update to modernize the accounting for software costs to increase the operability of the recognition guidance considering different methods of software development and clarify the criteria for capitalizing software costs. The amendments are effective for annual reporting periods beginning after December 15, 2027 and interim reporting periods within those annual reporting periods, with an early adoption permitted as of the beginning of an annual reporting period. Entities should apply the new guidance either retrospectively, prospectively, or via a modified prospective transition method. The Company is in the process of evaluating the impact of this standard on the Company's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 (ASU 2025-05)</w:t>
      </w:r>
    </w:p>
    <w:p>
      <w:pPr>
        <w:spacing w:after="0" w:line="85"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In July 2025, the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Company does not expect that this accounting standard, upon adoption, will have a material impact on the Company's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85"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The Company is currently evaluating the impact of the update on the disclosures in the Company's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 (ASU No.2023-09)</w:t>
      </w:r>
    </w:p>
    <w:p>
      <w:pPr>
        <w:spacing w:after="0" w:line="85"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 December 2023, the FASB issued an accounting standards update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with an early adoption permitted. The amendments should be applied prospectively; however, retrospective application is permitted. The Company adopted this accounting standard in the 2025 annual period and applied the standard prospectively. The adoption of this ASU resulted in additional income tax disclosures (see Note 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Combinations—Joint Venture Formations (Subtopic 805-60): Recognition and Initial Measurement (ASU 2023-05)</w:t>
      </w:r>
    </w:p>
    <w:p>
      <w:pPr>
        <w:spacing w:after="0" w:line="98"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In August 2023, the FASB issued an accounting standards update to address the accounting for contributions made to a joint venture, upon formation, in a joint venture's financial statements, and to provide decision-useful information to investors in a joint venture's financial statements and reduce diversity in practice. Under the update, upon formation, a joint venture should recognize and initially measure its assets and liabilities at fair value (with exceptions to fair value measurement that are consistent with guidance for business combinations). The amendments in this update become effective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either prospectively or retrospectively. The Company adopted this accounting standard effective January 1, 2025 and the adoption did not have an impact on the Company's consolidated financial statements.</w:t>
      </w:r>
    </w:p>
    <w:p>
      <w:pPr>
        <w:spacing w:after="0" w:line="215" w:lineRule="exact"/>
        <w:rPr>
          <w:sz w:val="20"/>
          <w:szCs w:val="20"/>
          <w:color w:val="auto"/>
        </w:rPr>
      </w:pPr>
    </w:p>
    <w:p>
      <w:pPr>
        <w:ind w:right="9380" w:firstLine="5"/>
        <w:spacing w:after="0" w:line="396" w:lineRule="auto"/>
        <w:tabs>
          <w:tab w:leader="none" w:pos="175"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Financial Instruments </w:t>
      </w:r>
      <w:r>
        <w:rPr>
          <w:rFonts w:ascii="Times New Roman" w:cs="Times New Roman" w:eastAsia="Times New Roman" w:hAnsi="Times New Roman"/>
          <w:sz w:val="16"/>
          <w:szCs w:val="16"/>
          <w:b w:val="1"/>
          <w:bCs w:val="1"/>
          <w:i w:val="1"/>
          <w:iCs w:val="1"/>
          <w:color w:val="auto"/>
        </w:rPr>
        <w:t>Cash Equivalents</w:t>
      </w: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had $0 and $1,009 of held-to-maturity securities with original maturities of three months or less, primarily consisting of corporate debt securities, classified as cash equivalents at December 31, 2025 and December 31, 2024, respectively. The Company's investments in held-to-maturity securities were held at amortized cost, which approximates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00"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 had restricted cash and cash equivalents of $16 and $16 at December 31, 2025 and 2024, respectively. The Company's restricted cash and cash equivalents are primarily related to balances that are restricted for payment of distributions to certain of the Company's current and former employees and are reflected primarily in other assets, net in the Company's consolidated balance sheets.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87" w:lineRule="exact"/>
        <w:rPr>
          <w:sz w:val="20"/>
          <w:szCs w:val="20"/>
          <w:color w:val="auto"/>
        </w:rPr>
      </w:pPr>
    </w:p>
    <w:p>
      <w:pPr>
        <w:ind w:right="180" w:firstLine="395"/>
        <w:spacing w:after="0" w:line="263" w:lineRule="auto"/>
        <w:rPr>
          <w:sz w:val="20"/>
          <w:szCs w:val="20"/>
          <w:color w:val="auto"/>
        </w:rPr>
      </w:pPr>
      <w:r>
        <w:rPr>
          <w:rFonts w:ascii="Times New Roman" w:cs="Times New Roman" w:eastAsia="Times New Roman" w:hAnsi="Times New Roman"/>
          <w:sz w:val="18"/>
          <w:szCs w:val="18"/>
          <w:color w:val="auto"/>
        </w:rPr>
        <w:t>The Company had no available-for-sale securities at December 31, 2024. Investments in securities at December 31, 2025 consisted of available-for-sale debt securities.</w:t>
      </w:r>
    </w:p>
    <w:p>
      <w:pPr>
        <w:spacing w:after="0" w:line="1"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67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260" w:val="left"/>
          <w:tab w:leader="none" w:pos="9360" w:val="left"/>
          <w:tab w:leader="none" w:pos="9800" w:val="left"/>
          <w:tab w:leader="none" w:pos="10980" w:val="left"/>
        </w:tabs>
        <w:rPr>
          <w:sz w:val="20"/>
          <w:szCs w:val="20"/>
          <w:color w:val="auto"/>
        </w:rPr>
      </w:pPr>
      <w:r>
        <w:rPr>
          <w:rFonts w:ascii="Times New Roman" w:cs="Times New Roman" w:eastAsia="Times New Roman" w:hAnsi="Times New Roman"/>
          <w:sz w:val="18"/>
          <w:szCs w:val="18"/>
          <w:color w:val="auto"/>
        </w:rPr>
        <w:t>Available-for-sale securities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204</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38735</wp:posOffset>
            </wp:positionV>
            <wp:extent cx="18884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cost, fair value and fair value levels of the Company's available-for-sale debt securities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Level</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 agency securities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4"/>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Supranational securities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196"/>
        </w:trPr>
        <w:tc>
          <w:tcPr>
            <w:tcW w:w="6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maturities of debt securities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Within one year</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One to five years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Six to ten years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After ten years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right="180" w:firstLine="395"/>
        <w:spacing w:after="0" w:line="256" w:lineRule="auto"/>
        <w:rPr>
          <w:sz w:val="20"/>
          <w:szCs w:val="20"/>
          <w:color w:val="auto"/>
        </w:rPr>
      </w:pPr>
      <w:r>
        <w:rPr>
          <w:rFonts w:ascii="Times New Roman" w:cs="Times New Roman" w:eastAsia="Times New Roman" w:hAnsi="Times New Roman"/>
          <w:sz w:val="18"/>
          <w:szCs w:val="18"/>
          <w:color w:val="auto"/>
        </w:rPr>
        <w:t>The fair values of the available-for-sale debt securities are determined based on observable market-based inputs, such as quotes from financial reporting services. Unrealized and realized gains and losses, and accrued interest on available-for-sale debt securities for the twelve months ended December 31, 2025 were immaterial. As of December 31, 2025, no allowance for credit losses was recorded for these investments.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receivable consisted of the following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 consisted of the following at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additives, chemicals and other raw materials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(includes accelerated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460" w:firstLine="395"/>
        <w:spacing w:after="0" w:line="303" w:lineRule="auto"/>
        <w:rPr>
          <w:sz w:val="20"/>
          <w:szCs w:val="20"/>
          <w:color w:val="auto"/>
        </w:rPr>
      </w:pPr>
      <w:r>
        <w:rPr>
          <w:rFonts w:ascii="Times New Roman" w:cs="Times New Roman" w:eastAsia="Times New Roman" w:hAnsi="Times New Roman"/>
          <w:sz w:val="16"/>
          <w:szCs w:val="16"/>
          <w:color w:val="auto"/>
        </w:rPr>
        <w:t>Depreciation expense on property, plant and equipment of $797, $759 and $763 is included primarily in cost of sales in the Company's consolidated statements of operations for the years ended December 31, 2025, 2024 and 2023, respectively. In addition, accelerated depreciation expense of $259 was recognized in 2025 related to the closures of certain Chlorovinyls facilities and Styrene facility. See Note 18 for more detailed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Recoverability</w:t>
      </w:r>
    </w:p>
    <w:p>
      <w:pPr>
        <w:spacing w:after="0" w:line="98"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In the third quarter of 2025, due to the recent operating losses and the downward revision of forecasts for the North American Chlorovinyls asset group, which comprises PVC, VCM, caustic soda, chlorine and related derivatives assets in North America, and certain other asset groups in the third quarter of 2025, the Company evaluated these asset groups' long-lived assets for recoverability. A recoverability test was performed for these asset groups to compare the carrying amounts of the asset groups to the future net undiscounted cash flows expected to be generated by the respective asset groups. The undiscounted cash flow projections were based on historical results, estimates made by management of future market conditions supplemented by information prepared by third party consultants, including input costs and sales prices, current and future strategic and operational plans and future financial performance projected through the remaining useful life of the primary asset in the asset group. Based on the recoverability tests in the third quarter of 2025, the Company determined that the carrying amounts of the assets of the North American Chlorovinyls and certain other asset groups were recoverable.</w:t>
      </w:r>
    </w:p>
    <w:p>
      <w:pPr>
        <w:spacing w:after="0" w:line="113"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In 2023, recoverability tests were performed for each of Westlake Epoxy's asset groups to compare the carrying amounts of the asset groups to the future net undiscounted cash flow expected to be generated by the asset group. Based on the recoverability tests performed, the Company determined that the carrying amount of the primary assets of the Westlake Epoxy Netherlands asset group was not recoverable. The fair value of the asset group was calculated using a discounted cash flow methodology and a non-cash impairment charge of $347, related to the Company's base epoxy resin business in the Netherlands, was recognized in 2023 within the Performance and Essential Materials segment to reduce the carrying amount of the asset group to its fair value. The long-lived asset impairment charge was reported in impairment of goodwill and long-lived assets in the 2023 consolidated statements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Lease-related asset and liability balances consisted of the following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80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801</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8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128</w:t>
            </w:r>
          </w:p>
        </w:tc>
      </w:tr>
      <w:tr>
        <w:trPr>
          <w:trHeight w:val="22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713</w:t>
            </w:r>
          </w:p>
        </w:tc>
      </w:tr>
      <w:tr>
        <w:trPr>
          <w:trHeight w:val="217"/>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841</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8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Lease Discount Rate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232"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The Company's operating lease cost is comprised of payments related to operating leases recorded in the Company's consolidated balance sheet and short-term rental payments for leases that are not recorded in the consolidated balance sheet.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2"/>
                <w:szCs w:val="22"/>
                <w:color w:val="auto"/>
                <w:vertAlign w:val="superscript"/>
              </w:rPr>
              <w:t>(1)</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Includes fixed lease payments for operating leases recorded in the consolidated balance sheet.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8"/>
        </w:trPr>
        <w:tc>
          <w:tcPr>
            <w:tcW w:w="6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Maturities of lease liabilities were as follows at December 31, 2025:</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payments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4"/>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0"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leases certain assets under operating leases with related parties. Right-of-use assets and the associated operating lease liabilities for related party operating leases were approximately $47 and $47 as of December 31, 2025 and December 31, 2024, respectively. The Company recognized operating lease cost for fixed lease payments to related parties of $6 and $6 for the years ended December 31, 2025 and 2024,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240" w:firstLine="5"/>
        <w:spacing w:after="0" w:line="344" w:lineRule="auto"/>
        <w:tabs>
          <w:tab w:leader="none" w:pos="1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changes in goodwill for the years ended December 31, 2025 and 2024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Housing and</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Infrastructure</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Essential Materials</w:t>
            </w:r>
          </w:p>
        </w:tc>
        <w:tc>
          <w:tcPr>
            <w:tcW w:w="340" w:type="dxa"/>
            <w:vAlign w:val="bottom"/>
          </w:tcPr>
          <w:p>
            <w:pPr>
              <w:spacing w:after="0"/>
              <w:rPr>
                <w:sz w:val="12"/>
                <w:szCs w:val="12"/>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Products Segment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goodwill balance is presented net of accumulated impairment losses of $855 as of December 31, 2025, and $128 as of December 31, 2024 and 2023 in the Performance and Essential Materials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9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Goodwill is evaluated for impairment when events or changes in circumstances indicate the fair value of a reporting unit with goodwill has been reduced below its carrying amount, and otherwise at least annually.</w:t>
      </w:r>
    </w:p>
    <w:p>
      <w:pPr>
        <w:spacing w:after="0" w:line="117"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As part of the Company's continuous assessment of changes in the macroeconomic environment in the performance and essential materials industry and recent operating performance and updated forecasts, the Company identified triggering events associated with the North American Chlorovinyls reporting unit in the third quarter of 2025. Due to the recent operating losses and downward revision in the third quarter 2025 of forecasts for the North American Chlorovinyls reporting unit along with negative chlorovinyls industry trends, the Company performed a quantitative assessment in the third quarter of 2025 to determine if the fair value of this reporting unit had reduced below its carrying amount. The Company also performed a quantitative impairment assessment in the third quarter of 2025 for all other reporting units within the Performance and Essential Materials and the Housing and Infrastructure Products segments to assess the overall fair value of the Company as compared to its market capitalization.</w:t>
      </w:r>
    </w:p>
    <w:p>
      <w:pPr>
        <w:spacing w:after="0" w:line="134"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The fair values of the reporting units, including the North American Chlorovinyls reporting unit, were determined using a weighting of both a discounted cash flow methodology and a market value methodology. The fair values of the Company's reporting units were classified as Level 3 of the fair value hierarchy due to the significance of unobservable inputs developed using company-specific information. Both of these methodologies require estimates, assumptions, and judgments about future results. The Company's analysis is based on the Company's internally developed long-range plan, which is developed from historical results, estimates by management of future market conditions, current and future strategic and operational plans and future financial performance. Significant assumptions used in the Company's discounted cash flow methodology include projected sales volumes based on production capacities and operating rates, product selling prices, capital expenditures, depreciation expense, working capital investment, discount rates, tax rates, terminal growth rates and earnings before interest expense, income taxes, depreciation and amortization expense (EBITDA) margin, inclusive of feedstock, energy and power costs. Significant assumptions used in the Company's market value methodology include EBITDA, weighting of periods, market participant acquisition premium and the estimated multiples of EBITDA buyers are willing to pay in the marketplace.</w:t>
      </w:r>
    </w:p>
    <w:p>
      <w:pPr>
        <w:spacing w:after="0" w:line="14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Based on the quantitative tests performed during the third quarter of 2025, the Company determined that the fair value of the North American Chlorovinyls reporting unit did not exceed its carrying amount. This resulted in a non-cash goodwill impairment charge of $727 taken in the third quarter of 2025, representing all the goodwill associated with the North American Chlorovinyls reporting unit recognized within the Performance and Essential Materials segment. The goodwill impairment charge is reported as impairment of goodwill in the consolidated statements of operations. For all other reporting units, the Company determined that the fair values of each of the reporting units were in excess of the carrying 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Company performed a qualitative assessment for the purposes of its 2025 annual goodwill impairment analysis for each of the reporting units within the Housing and Infrastructure Products and the Performance and Essential Materials and segments during the fourth quarter of 2025. Based on the qualitative assessment performed in the fourth quarter of 2025, the Company determined it was more likely than not that the fair value of each reporting unit with goodwill exceeds its carrying value. If the judgments and estimates used in the Company's analysis are not realized or change due to future external factors, then actual results may not be consistent with these judgments and estimates, and the Company's goodwill may become further impaired in future periods, which could have an adverse effect on the Company's financial condition and results of operations.</w:t>
      </w:r>
    </w:p>
    <w:p>
      <w:pPr>
        <w:spacing w:after="0" w:line="133" w:lineRule="exact"/>
        <w:rPr>
          <w:sz w:val="20"/>
          <w:szCs w:val="20"/>
          <w:color w:val="auto"/>
        </w:rPr>
      </w:pPr>
    </w:p>
    <w:p>
      <w:pPr>
        <w:ind w:right="100" w:firstLine="395"/>
        <w:spacing w:after="0" w:line="280" w:lineRule="auto"/>
        <w:rPr>
          <w:sz w:val="20"/>
          <w:szCs w:val="20"/>
          <w:color w:val="auto"/>
        </w:rPr>
      </w:pPr>
      <w:r>
        <w:rPr>
          <w:rFonts w:ascii="Times New Roman" w:cs="Times New Roman" w:eastAsia="Times New Roman" w:hAnsi="Times New Roman"/>
          <w:sz w:val="16"/>
          <w:szCs w:val="16"/>
          <w:color w:val="auto"/>
        </w:rPr>
        <w:t>In 2023, the Company performed a quantitative assessment for the purposes of its 2023 annual goodwill impairment analysis for each of the reporting units within the Performance and Essential Materials and the Housing and Infrastructure Products segments. The discounted cash flow projections were based on a long-term forecast to reflect the cyclicality of the business. The forecast is based on historical results, estimates by management of future market conditions, current and future strategic and operational plans and future financial performance. Significant assumptions used in the discounted cash flow projection included projected sales volumes based on production capacities, future sales prices, feedstock, energy and power costs and capital expenditures to maintain safe and reliable plant operations. The future cash flows were discounted to present value using a discount rate ranging from 10.0% to 12.0%. The significant assumptions used in determining the fair value of the reporting unit using the market value methodology include the determination of appropriate market comparables and the estimated multiples of net income before interest expense, income taxes, depreciation and amortization a willing buyer is likely to pay. Based on the quantitative tests performed during the fourth quarter of 2023, the Company determined that the fair value of the Westlake Epoxy reporting unit did not exceed its carrying amount, and as such, a goodwill impairment charge of $128 was recognized within the Performance and Essential Materials segment. The goodwill impairment charge was reported in impairment of goodwill and long-lived assets in the 2023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vMerge w:val="restart"/>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20" w:type="dxa"/>
            <w:vAlign w:val="bottom"/>
          </w:tcPr>
          <w:p>
            <w:pPr>
              <w:jc w:val="cente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47"/>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20" w:type="dxa"/>
            <w:vAlign w:val="bottom"/>
            <w:tcBorders>
              <w:top w:val="single" w:sz="8" w:color="CCEEFF"/>
              <w:bottom w:val="single" w:sz="8" w:color="CCEEFF"/>
            </w:tcBorders>
            <w:shd w:val="clear" w:color="auto" w:fill="CCEEFF"/>
          </w:tcPr>
          <w:p>
            <w:pPr>
              <w:jc w:val="center"/>
              <w:ind w:left="4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Licenses and intellectual</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property</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4"/>
        </w:trPr>
        <w:tc>
          <w:tcPr>
            <w:tcW w:w="2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7"/>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Scheduled amortization of intangible assets for the next five years is as follows: $133, $106, $104, $95 and $78 in 2026, 2027, 2028, 2029 and 2030,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960" w:firstLine="5"/>
        <w:spacing w:after="0" w:line="387" w:lineRule="auto"/>
        <w:tabs>
          <w:tab w:leader="none" w:pos="175"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Method Investments </w:t>
      </w:r>
      <w:r>
        <w:rPr>
          <w:rFonts w:ascii="Times New Roman" w:cs="Times New Roman" w:eastAsia="Times New Roman" w:hAnsi="Times New Roman"/>
          <w:sz w:val="16"/>
          <w:szCs w:val="16"/>
          <w:b w:val="1"/>
          <w:bCs w:val="1"/>
          <w:i w:val="1"/>
          <w:iCs w:val="1"/>
          <w:color w:val="auto"/>
        </w:rPr>
        <w:t>LACC, LLC Joint Venture</w:t>
      </w:r>
    </w:p>
    <w:p>
      <w:pPr>
        <w:spacing w:after="0" w:line="1"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In 2015, Eagle US 2 LLC ("Eagle"), a wholly-owned subsidiary of the Company, and Lotte Chemical USA Corporation, a subsidiary of Lotte Chemical Corporation ("Lotte"), formed a joint venture, LACC, LLC ("LACC"), to design, build and operate an ethylene facility with 2.2 billion pounds per year of ethylene production capacity. Pursuant to a contribution and subscription agreement between Eagle and LACC, Eagle contributed $225 to LACC to fund construction costs of the ethylene plant, representing approximately 12% of the membership interests in LACC. On November 12, 2019, the Company, through Eagle, completed the acquisition of an additional 34.8% of the membership interests in LACC from Lotte for approximately $817. On March 15, 2022, the Company acquired an additional 3.2% of the membership interests in LACC from Lotte for $89. As of December 31, 2025, the Company owned an aggregate 50% membership interest in LACC. As of December 31, 2025, the Company's investment exceeded the underlying equity in net assets by approximately $199 which was assigned to goodwill and not amortized.</w:t>
      </w:r>
    </w:p>
    <w:p>
      <w:pPr>
        <w:spacing w:after="0" w:line="138"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The ethylene plant was built adjacent to the Company's chlor-alkali facility in Lake Charles. During the third quarter of 2019, the ethylene plant began commercial operations.</w:t>
      </w:r>
    </w:p>
    <w:p>
      <w:pPr>
        <w:spacing w:after="0" w:line="117"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members of LACC receive their proportionate shares of ethylene offtake each month and fund cash operating costs, excluding depreciation and amortization. As a result, LACC recognizes net losses equal to depreciation and amortization each period. The Company's equity in losses from LACC, which is equal to its share of depreciation and amortization expenses, is recognized in cost of sales in the consolidated statements of operations. The Company's investment in LACC is classified as an equity method investment in the consolidated balance sheets. The Company's capital contributions to fund its share of capital expenditures are classified within investing activities in the consolidated statements of cash flows.</w:t>
      </w:r>
    </w:p>
    <w:p>
      <w:pPr>
        <w:spacing w:after="0" w:line="133" w:lineRule="exact"/>
        <w:rPr>
          <w:sz w:val="20"/>
          <w:szCs w:val="20"/>
          <w:color w:val="auto"/>
        </w:rPr>
      </w:pPr>
    </w:p>
    <w:p>
      <w:pPr>
        <w:ind w:right="1000" w:firstLine="395"/>
        <w:spacing w:after="0" w:line="268" w:lineRule="auto"/>
        <w:rPr>
          <w:sz w:val="20"/>
          <w:szCs w:val="20"/>
          <w:color w:val="auto"/>
        </w:rPr>
      </w:pPr>
      <w:r>
        <w:rPr>
          <w:rFonts w:ascii="Times New Roman" w:cs="Times New Roman" w:eastAsia="Times New Roman" w:hAnsi="Times New Roman"/>
          <w:sz w:val="18"/>
          <w:szCs w:val="18"/>
          <w:color w:val="auto"/>
        </w:rPr>
        <w:t>The Company's ethylene offtake from LACC was approximately 1,056 million, 614 million, and 935 million pounds during the years ended December 31, 2025, 2024, and 2023 respectively.</w:t>
      </w:r>
    </w:p>
    <w:p>
      <w:pPr>
        <w:spacing w:after="0" w:line="117" w:lineRule="exact"/>
        <w:rPr>
          <w:sz w:val="20"/>
          <w:szCs w:val="20"/>
          <w:color w:val="auto"/>
        </w:rPr>
      </w:pPr>
    </w:p>
    <w:p>
      <w:pPr>
        <w:jc w:val="both"/>
        <w:ind w:right="480" w:firstLine="39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sales to LACC of approximately $37, $8, and $12, respectively. Accounts receivable from this joint venture were $2 and $1 and accounts payable to this joint venture were $17 and $15 at December 31, 2025 and 2024, respectively.</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the Company's investment in LACC for the years ended December 31, 2025 and 2024 were as follows:</w:t>
      </w:r>
    </w:p>
    <w:p>
      <w:pPr>
        <w:spacing w:after="0" w:line="129"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b w:val="1"/>
          <w:bCs w:val="1"/>
          <w:color w:val="auto"/>
        </w:rPr>
        <w:t>Investment in LACC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50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contributions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42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5495" cy="167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960" w:hanging="95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1,047</w:t>
      </w:r>
    </w:p>
    <w:p>
      <w:pPr>
        <w:spacing w:after="0" w:line="21"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0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1,018</w:t>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30</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5" w:lineRule="exact"/>
        <w:rPr>
          <w:sz w:val="20"/>
          <w:szCs w:val="20"/>
          <w:color w:val="auto"/>
        </w:rPr>
      </w:pPr>
    </w:p>
    <w:p>
      <w:pPr>
        <w:ind w:left="1080" w:hanging="107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9105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9100" w:space="720"/>
            <w:col w:w="140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Provided to LACC and Lotte</w:t>
      </w:r>
    </w:p>
    <w:p>
      <w:pPr>
        <w:spacing w:after="0" w:line="85"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The Company provides certain utilities and other services to LACC and Lotte. Pursuant to a construction and reimbursement agreement, LACC and Lotte agreed to reimburse the Company for construction costs over a 6.5-year period beginning in 2020. In addition to the reimbursements for construction costs, the Company charges LACC and Lotte certain fixed fees under an operating, maintenance and logistics agreement. The Company accounts for the reimbursement of construction costs and the fixed fees ratably in net sales over approximately 25 years. The remaining performance obligations under these agreements totaled $47 and $65 from LACC and Lotte, respectively, as of December 31, 2025. The associated contract liabilities recorded from LACC and Lotte totaled $32 and $40 as of December 31, 2025, respectively, and $27 and $35 as of December 31, 2024, respectively. In addition to the reimbursements for construction costs and other fixed fees, the Company charges LACC and Lotte certain variable fees that are recognized in net sales as control of the goods and services transfer to LACC and Lotte.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Method Investments</w:t>
      </w:r>
    </w:p>
    <w:p>
      <w:pPr>
        <w:spacing w:after="0" w:line="10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addition to LACC, the Company has other equity method investments amounting to $71 and $63 as of December 31, 2025 and 2024, respectively. See Note 19 for more detailed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Accounts Payable</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payable consisted of the following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short-term payable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3.60% senior notes due August 2026 (the "3.60% 2026 Senior Notes")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Loan related to tax-exempt waste disposal revenue bonds due December 2027 </w:t>
            </w:r>
            <w:r>
              <w:rPr>
                <w:rFonts w:ascii="Times New Roman" w:cs="Times New Roman" w:eastAsia="Times New Roman" w:hAnsi="Times New Roman"/>
                <w:sz w:val="22"/>
                <w:szCs w:val="22"/>
                <w:color w:val="auto"/>
                <w:vertAlign w:val="superscript"/>
              </w:rPr>
              <w:t>(2)</w:t>
            </w:r>
          </w:p>
        </w:tc>
        <w:tc>
          <w:tcPr>
            <w:tcW w:w="9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1.625% €700 million senior notes due July 2029 (the "1.625% 2029 Senior Notes")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727</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3.375% senior notes due June 2030 (the "3.375% 2030 Senior Notes") </w:t>
            </w:r>
            <w:r>
              <w:rPr>
                <w:rFonts w:ascii="Times New Roman" w:cs="Times New Roman" w:eastAsia="Times New Roman" w:hAnsi="Times New Roman"/>
                <w:sz w:val="22"/>
                <w:szCs w:val="22"/>
                <w:color w:val="auto"/>
                <w:vertAlign w:val="superscript"/>
              </w:rPr>
              <w:t>(1)</w:t>
            </w:r>
          </w:p>
        </w:tc>
        <w:tc>
          <w:tcPr>
            <w:tcW w:w="9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3.50% senior notes due November 2032 (the "3.50% 2032 tax-exempt GO Zone Refunding Senior Notes")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5.550% senior notes due November 2035 (the "5.550% 2035 Senior Notes") </w:t>
            </w:r>
            <w:r>
              <w:rPr>
                <w:rFonts w:ascii="Times New Roman" w:cs="Times New Roman" w:eastAsia="Times New Roman" w:hAnsi="Times New Roman"/>
                <w:sz w:val="22"/>
                <w:szCs w:val="22"/>
                <w:color w:val="auto"/>
                <w:vertAlign w:val="superscript"/>
              </w:rPr>
              <w:t>(1)</w:t>
            </w:r>
          </w:p>
        </w:tc>
        <w:tc>
          <w:tcPr>
            <w:tcW w:w="9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2.875% senior notes due August 2041 (the "2.875% 2041 Senior Notes")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5.00% senior notes due August 2046 (the "5.00% 2046 Senior Notes") </w:t>
            </w:r>
            <w:r>
              <w:rPr>
                <w:rFonts w:ascii="Times New Roman" w:cs="Times New Roman" w:eastAsia="Times New Roman" w:hAnsi="Times New Roman"/>
                <w:sz w:val="22"/>
                <w:szCs w:val="22"/>
                <w:color w:val="auto"/>
                <w:vertAlign w:val="superscript"/>
              </w:rPr>
              <w:t>(1)</w:t>
            </w:r>
          </w:p>
        </w:tc>
        <w:tc>
          <w:tcPr>
            <w:tcW w:w="9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700</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4.375% senior notes due November 2047 (the "4.375% 2047 Senior Notes")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3.125% senior notes due August 2051 (the "3.125% 2051 Senior Notes") </w:t>
            </w:r>
            <w:r>
              <w:rPr>
                <w:rFonts w:ascii="Times New Roman" w:cs="Times New Roman" w:eastAsia="Times New Roman" w:hAnsi="Times New Roman"/>
                <w:sz w:val="22"/>
                <w:szCs w:val="22"/>
                <w:color w:val="auto"/>
                <w:vertAlign w:val="superscript"/>
              </w:rPr>
              <w:t>(1)</w:t>
            </w:r>
          </w:p>
        </w:tc>
        <w:tc>
          <w:tcPr>
            <w:tcW w:w="9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6.375% senior notes due November 2055 (the "6.375% 2055 Senior Notes")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3.375% senior notes due August 2061 (the "3.375% 2061 Senior Notes") </w:t>
            </w:r>
            <w:r>
              <w:rPr>
                <w:rFonts w:ascii="Times New Roman" w:cs="Times New Roman" w:eastAsia="Times New Roman" w:hAnsi="Times New Roman"/>
                <w:sz w:val="22"/>
                <w:szCs w:val="22"/>
                <w:color w:val="auto"/>
                <w:vertAlign w:val="superscript"/>
              </w:rPr>
              <w:t>(1)</w:t>
            </w:r>
          </w:p>
        </w:tc>
        <w:tc>
          <w:tcPr>
            <w:tcW w:w="9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due March 2026</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principal amount</w:t>
            </w:r>
          </w:p>
        </w:tc>
        <w:tc>
          <w:tcPr>
            <w:tcW w:w="90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5,680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4,645</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5,584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4,562</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3.60% 2026 Senior Notes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 net of current portion</w:t>
            </w:r>
          </w:p>
        </w:tc>
        <w:tc>
          <w:tcPr>
            <w:tcW w:w="90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5,087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4,556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40" w:lineRule="exact"/>
        <w:rPr>
          <w:sz w:val="20"/>
          <w:szCs w:val="20"/>
          <w:color w:val="auto"/>
        </w:rPr>
      </w:pPr>
    </w:p>
    <w:p>
      <w:pPr>
        <w:ind w:left="400" w:right="40" w:hanging="395"/>
        <w:spacing w:after="0" w:line="268" w:lineRule="auto"/>
        <w:tabs>
          <w:tab w:leader="none" w:pos="3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call dates for these Senior Notes are between three to six months prior to the respective maturity dates, except for the 3.50% 2032 tax-exempt GO Zone Refunding Senior Notes for which the par call date is November 2027.</w:t>
      </w:r>
    </w:p>
    <w:p>
      <w:pPr>
        <w:spacing w:after="0" w:line="11" w:lineRule="exact"/>
        <w:rPr>
          <w:rFonts w:ascii="Times New Roman" w:cs="Times New Roman" w:eastAsia="Times New Roman" w:hAnsi="Times New Roman"/>
          <w:sz w:val="18"/>
          <w:szCs w:val="18"/>
          <w:color w:val="auto"/>
        </w:rPr>
      </w:pPr>
    </w:p>
    <w:p>
      <w:pPr>
        <w:ind w:left="400" w:right="80" w:hanging="395"/>
        <w:spacing w:after="0" w:line="268" w:lineRule="auto"/>
        <w:tabs>
          <w:tab w:leader="none" w:pos="3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waste disposal revenue bonds accrues at a rate determined by a remarketing agent. The interest rate on the waste disposal revenue bonds at December 31, 2025 was 2.48%.</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0"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On June 9, 2022, the Company entered into a $1,500 revolving credit facility that is scheduled to mature on June 9, 2027 (the "Credit Agreement") and, in connection therewith, terminated the Company's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December 31, 2025, the Company was in compliance with the total leverage ratio financial maintenance covenant. 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the Company's subsidiaries are required to guarantee the obligations of the Company under the Credit Agreement.</w:t>
      </w:r>
    </w:p>
    <w:p>
      <w:pPr>
        <w:spacing w:after="0" w:line="114"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Credit Agreement includes a $150 sub-limit for letters of credit, and any outstanding letters of credit will be deducted from availability under the facility. The Credit Agreement also provides for a discretionary $50 commitment for swingline loans to be provided on a same-day basis. The Company may also increase the size of the facility, in increments of at least $25, up to a maximum of $500, subject to certain conditions and if certain lenders agree to commit to such an increase.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the Company had no borrowings and no letters of credit outstanding, and had borrowing availability of $1,500, under the Credit Agreement.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the Company had $45 standby letters of credit, made in the ordinary course of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5.550% Senior Notes due 2035</w:t>
      </w:r>
    </w:p>
    <w:p>
      <w:pPr>
        <w:spacing w:after="0" w:line="87"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On November 6, 2025, the Company completed the registered public offering of $600 aggregate principal amount of the 5.550% 2035 Senior Notes. The 5.550% 2035 Senior Notes accrue interest from November 6, 2025 and will be payable semi-annually in arrears on May 15 and November 15 of each year, beginning May 15,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6.375% Senior Notes due 2055</w:t>
      </w:r>
    </w:p>
    <w:p>
      <w:pPr>
        <w:spacing w:after="0" w:line="100"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On November 6, 2025, the Company completed the registered public offering of $600 aggregate principal amount of the 6.375% 2055 Senior Notes. The 6.375% 2055 Senior Notes accrue interest from November 6, 2025 and will be payable semi-annually in arrears on May 15 and November 15 of each year, beginning May 15,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3.60% Senior Notes due 2026</w:t>
      </w:r>
    </w:p>
    <w:p>
      <w:pPr>
        <w:spacing w:after="0" w:line="10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August 2016, the Company issued $750 aggregate principal amount of the 3.60% 2026 Senior Notes. On November 12, 2025, the Company repurchased $254 aggregate principal amount of the outstanding 3.60% 2026 Senior Notes pursuant to a tender offer at a price equal to 99.63% of the principal amount of the notes plus accrued and unpaid interest thereon. The remaining outstanding balance of the 3.60% 2026 Senior Notes is reflected as current portion of the long-term debt on the consolidated balance sheet at December 31, 2025.</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the Company was in compliance with all of its long-term debt covenants.</w:t>
      </w:r>
    </w:p>
    <w:p>
      <w:pPr>
        <w:spacing w:after="0" w:line="161"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weighted average interest rate on all long-term debt was 3.9% at December 31, 2025 and 3.4% at December 31, 2024. Unamortized debt issuance costs on long-term debt were $42 and $32 at December 31, 2025 and 2024, respectively.</w:t>
      </w:r>
    </w:p>
    <w:p>
      <w:pPr>
        <w:spacing w:after="0" w:line="117"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Aggregate scheduled maturities of long-term debt during the next five years consist of $497 in 2026, $11 in 2027, $822 in 2029 and $300 in 2030. There are no other scheduled maturities of debt in 2026 through 2030.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85"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The Company's Board of Directors has declared regular quarterly dividends to holders of its common stock aggregating $272, $264 and $221 for the years ended December 31, 2025, 2024 and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0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on which holders are permitted to vote, including the election of directors. There are no cumulative voting rights. Accordingly, holders of a majority of the total votes entitled to vote in an election of directors will be able to elect all of the directors standing for election. Subject to preferences that may be applicable to any outstanding preferred stock, the holders of the common stock will share equally on a per share basis any dividends when, as and if declared by the Board of Directors out of funds legally available for that purpose. If the Company is liquidated, dissolved or wound up, the holders of the Company's common stock will be entitled to a ratable share of any distribution to stockholders, after satisfaction of all the Company's liabilities and of the prior rights of any outstanding class of the Company's preferred stock. The Company's common stock has no preemptive or conversion rights or other subscription rights. There are no redemption or sinking fund provisions applicable to the Company's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0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Company's charter authorizes the issuance of shares of preferred stock. The Company's Board of Directors has the authority, without stockholder approval, to issue preferred shares from time to time in one or more series, and to fix the number of shares and terms of each such series. The Board may determine the designations and other terms of each series including dividend rates, whether dividends will be cumulative or non-cumulative, redemption rights, liquidation rights, sinking fund provisions, conversion or exchange rights and voting rights.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87" w:lineRule="exact"/>
        <w:rPr>
          <w:sz w:val="20"/>
          <w:szCs w:val="20"/>
          <w:color w:val="auto"/>
        </w:rPr>
      </w:pPr>
    </w:p>
    <w:p>
      <w:pPr>
        <w:ind w:right="120" w:firstLine="395"/>
        <w:spacing w:after="0" w:line="248" w:lineRule="auto"/>
        <w:rPr>
          <w:sz w:val="20"/>
          <w:szCs w:val="20"/>
          <w:color w:val="auto"/>
        </w:rPr>
      </w:pPr>
      <w:r>
        <w:rPr>
          <w:rFonts w:ascii="Times New Roman" w:cs="Times New Roman" w:eastAsia="Times New Roman" w:hAnsi="Times New Roman"/>
          <w:sz w:val="18"/>
          <w:szCs w:val="18"/>
          <w:color w:val="auto"/>
        </w:rPr>
        <w:t>In November 2014, the Company's Board of Directors approved a $250 share repurchase program (the "2014 Program"). In November 2015, the Company's Board of Directors approved the expansion of the 2014 Program by an additional $150. In August 2018, the Company's Board of Directors approved the expansion of the 2014 Program by an additional $150. In August 2022, the Company's Board of Directors approved the further expansion of the existing 2014 Program by an additional $500. During the year ended December 31, 2025, 725,652 shares of the Company's common stock were repurchased for an aggregate purchase price of $63 under the 2014 Program. The number of shares repurchased by the Company under the 2014 Program was 725,652, 480,081 and 211,294 for the years ended December 31, 2025, 2024 and 2023, respectively. As of December 31, 2025, the Company had repurchased a total of 9,928,283 shares of its common stock for an aggregate purchase price of approximately $697.</w:t>
      </w:r>
    </w:p>
    <w:p>
      <w:pPr>
        <w:spacing w:after="0" w:line="13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Any shares repurchased under the 2014 Program are held by the Company as treasury stock and may be used for general corporate purposes, including for the 2013 Omnibus Incentive Plan. In 2014, the Company began delivering treasury shares to employees and non-employee directors for options exercised, for the settlement of restricted stock units and for the settlement of performance stock units. The cost of treasury shares delivered is determined using the specific identification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Pension and Other</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Cumulative Foreign</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Post-Retirement</w:t>
            </w: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Available-for-sale</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220" w:type="dxa"/>
            <w:vAlign w:val="bottom"/>
          </w:tcPr>
          <w:p>
            <w:pPr>
              <w:spacing w:after="0"/>
              <w:rPr>
                <w:sz w:val="12"/>
                <w:szCs w:val="12"/>
                <w:color w:val="auto"/>
              </w:rPr>
            </w:pPr>
          </w:p>
        </w:tc>
        <w:tc>
          <w:tcPr>
            <w:tcW w:w="154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Benefits Liability, Net</w:t>
            </w:r>
          </w:p>
        </w:tc>
        <w:tc>
          <w:tcPr>
            <w:tcW w:w="100" w:type="dxa"/>
            <w:vAlign w:val="bottom"/>
          </w:tcPr>
          <w:p>
            <w:pPr>
              <w:spacing w:after="0"/>
              <w:rPr>
                <w:sz w:val="12"/>
                <w:szCs w:val="12"/>
                <w:color w:val="auto"/>
              </w:rPr>
            </w:pPr>
          </w:p>
        </w:tc>
        <w:tc>
          <w:tcPr>
            <w:tcW w:w="14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of Tax</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Exchange, Net of Tax</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 Net of Tax</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79"/>
        </w:trPr>
        <w:tc>
          <w:tcPr>
            <w:tcW w:w="5220" w:type="dxa"/>
            <w:vAlign w:val="bottom"/>
          </w:tcPr>
          <w:p>
            <w:pPr>
              <w:ind w:left="180"/>
              <w:spacing w:after="0" w:line="179"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9"/>
        </w:trPr>
        <w:tc>
          <w:tcPr>
            <w:tcW w:w="5220" w:type="dxa"/>
            <w:vAlign w:val="bottom"/>
          </w:tcPr>
          <w:p>
            <w:pPr>
              <w:ind w:left="180"/>
              <w:spacing w:after="0" w:line="179"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79"/>
        </w:trPr>
        <w:tc>
          <w:tcPr>
            <w:tcW w:w="522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59"/>
        </w:trPr>
        <w:tc>
          <w:tcPr>
            <w:tcW w:w="5220" w:type="dxa"/>
            <w:vAlign w:val="bottom"/>
          </w:tcPr>
          <w:p>
            <w:pPr>
              <w:ind w:left="180"/>
              <w:spacing w:after="0" w:line="159"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Corporation</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amount of $24, net of tax of $8, represents a realized gain on settlement of a portion of pension benefits liability in 2025.</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200" w:firstLine="5"/>
        <w:spacing w:after="0" w:line="346" w:lineRule="auto"/>
        <w:tabs>
          <w:tab w:leader="none" w:pos="263"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i w:val="1"/>
          <w:iCs w:val="1"/>
          <w:color w:val="auto"/>
        </w:rPr>
        <w:t>U.S. Plans</w:t>
      </w:r>
    </w:p>
    <w:p>
      <w:pPr>
        <w:spacing w:after="0" w:line="2"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The Company has a defined contribution savings plan covering eligible U.S. regular full-time and part-time employees, whereby eligible employees may elect to contribute up to 100% of their annual eligible compensation, subject to an annual plan limit in line with the annual elective contribution limit as determined by the Internal Revenue Service. The Company matches its employee's contribution up to a certain percentage of such employee's compensation, per the terms of the plan. The Company may, at its discretion and per the terms of the plan, make an additional non-matching contribution in an amount as the Board of Directors may determine. For the years ended December 31, 2025, 2024 and 2023, the Company recorded approximately $39, $39 and $36, respectively, to expense for these contributions.</w:t>
      </w:r>
    </w:p>
    <w:p>
      <w:pPr>
        <w:spacing w:after="0" w:line="133"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Further, within the plan, the Company also makes an annual retirement contribution to substantially all employees of certain subsidiaries. The Company's contributions to the plan are determined as a percentage of employees' pay. For the years ended December 31, 2025, 2024 and 2023, the Company charged approximately $61, $63 and $48, respectively, to expense for these contributions.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Plans</w:t>
      </w:r>
    </w:p>
    <w:p>
      <w:pPr>
        <w:spacing w:after="0" w:line="9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 has defined contribution plans in several countries covering eligible employees of the Company. The Company's contributions to the plans are based on applicable laws in each country and eligibility of employees of certain subsidiaries for the annual retirement contribution. Contributions to the Company's non-U.S. defined contribution plans are made by both the employee and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Plans</w:t>
      </w:r>
    </w:p>
    <w:p>
      <w:pPr>
        <w:spacing w:after="0" w:line="98"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The Company has noncontributory defined benefit pension plans that cover certain eligible salaried and wage employees of certain subsidiaries. However, eligibility and benefits for the Company's plans have been frozen. Benefits for salaried employees under these plans are based primarily on years of service and employees' pay before the freeze date and benefits for hourly wage employees are based upon years of service and a fixed amount determined at the time when benefits were frozen. The Company recognizes the years of service prior to the Company's acquisition of the subsidiary's facilities for purposes of determining eligibility and benefit levels for certain employees of the subsidiary. The annual measurement date for these plans is December 31.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Plans</w:t>
      </w:r>
    </w:p>
    <w:p>
      <w:pPr>
        <w:spacing w:after="0" w:line="85"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The Company has defined benefit pension plans covering current and former employees associated with the Company's operations. Several non-U.S. pension plans are unfunded and have no plan assets. These pension plans are closed to new participants. Benefits for employees for these plans are based primarily on employees' pay near retirement. The annual measurement date for the non-U.S. plans is December 31.</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Details of the changes in benefit obligations, plan assets and funded status of the Company's pension plans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amendments</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3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7"/>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5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3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7"/>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end of year</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400" w:right="20" w:hanging="395"/>
        <w:spacing w:after="0" w:line="289" w:lineRule="auto"/>
        <w:tabs>
          <w:tab w:leader="none" w:pos="39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2025, the Company settled a portion of its U.S Plan's pension obligations, in the amount of $148 collectively, through an annuity purchase and one-time lump sum payments. The annuity purchase, funded with the pension plan assets, settled obligations relating to certain eligible retirees through the purchase of a third-party group annuity contract from an insurance company in November 2025 for $146. The collective one-time lump sum payments for eligible participants throughout the 2025 calendar year totaled $2. This settlement resulted in a non-cash pension settlement gain of $32, reflected in other income, net, primarily related to the accelerated recognition of actuarial gain included in accumulated other comprehensive income (loss).</w:t>
      </w:r>
    </w:p>
    <w:p>
      <w:pPr>
        <w:spacing w:after="0" w:line="102"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actuarial loss (gain) in the benefit obligation for the periods presented is primarily driven by discount rate assumption changes.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163"/>
        </w:trPr>
        <w:tc>
          <w:tcPr>
            <w:tcW w:w="530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Amounts recognized in the consolidated balance sheet at</w:t>
            </w:r>
          </w:p>
        </w:tc>
        <w:tc>
          <w:tcPr>
            <w:tcW w:w="10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231"/>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040" w:type="dxa"/>
            <w:vAlign w:val="bottom"/>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157"/>
        </w:trPr>
        <w:tc>
          <w:tcPr>
            <w:tcW w:w="53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23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917"/>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5"/>
              </w:rPr>
              <w:t>(3)</w:t>
            </w:r>
          </w:p>
        </w:tc>
      </w:tr>
      <w:tr>
        <w:trPr>
          <w:trHeight w:val="217"/>
        </w:trPr>
        <w:tc>
          <w:tcPr>
            <w:tcW w:w="530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Total before tax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917"/>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400" w:right="880" w:hanging="395"/>
        <w:spacing w:after="0" w:line="268" w:lineRule="auto"/>
        <w:tabs>
          <w:tab w:leader="none" w:pos="3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totals for pension benefits were a gain of $40 and of $44 for 2025 and 2024, respectively, and are reflected in stockholders' equity as accumulated other comprehensive income (loss).</w:t>
      </w:r>
    </w:p>
    <w:p>
      <w:pPr>
        <w:spacing w:after="0" w:line="117"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In the U.S., the Pension Protection Act of 2006 (the "Pension Protection Act") established a relationship between a qualified pension plan's funded status and the actual benefits that can be provided. Restrictions on plan benefits and additional funding and notice requirements are imposed when a plan's funded status is less than certain threshold levels. For the 2025 plan year, the funded status for the Company's U.S. pension plans are above 80% and, as such, are exempt from the Pension Protection Act's benefit restrictions.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Pension plans with an accumulated benefit obligation in excess of plan assets at December 31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157"/>
        </w:trPr>
        <w:tc>
          <w:tcPr>
            <w:tcW w:w="53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Information for pension plans with an accumulated benefit</w:t>
            </w:r>
          </w:p>
        </w:tc>
        <w:tc>
          <w:tcPr>
            <w:tcW w:w="2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23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obligation in excess of plan assets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639"/>
              <w:spacing w:after="0"/>
              <w:rPr>
                <w:sz w:val="20"/>
                <w:szCs w:val="20"/>
                <w:color w:val="auto"/>
              </w:rPr>
            </w:pPr>
            <w:r>
              <w:rPr>
                <w:rFonts w:ascii="Times New Roman" w:cs="Times New Roman" w:eastAsia="Times New Roman" w:hAnsi="Times New Roman"/>
                <w:sz w:val="18"/>
                <w:szCs w:val="18"/>
                <w:color w:val="auto"/>
                <w:w w:val="97"/>
              </w:rPr>
              <w:t>(464)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8"/>
                <w:szCs w:val="18"/>
                <w:color w:val="auto"/>
                <w:w w:val="97"/>
              </w:rPr>
              <w:t>(464)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center"/>
              <w:ind w:left="679"/>
              <w:spacing w:after="0"/>
              <w:rPr>
                <w:sz w:val="20"/>
                <w:szCs w:val="20"/>
                <w:color w:val="auto"/>
              </w:rPr>
            </w:pPr>
            <w:r>
              <w:rPr>
                <w:rFonts w:ascii="Times New Roman" w:cs="Times New Roman" w:eastAsia="Times New Roman" w:hAnsi="Times New Roman"/>
                <w:sz w:val="18"/>
                <w:szCs w:val="18"/>
                <w:color w:val="auto"/>
                <w:w w:val="96"/>
              </w:rPr>
              <w:t>417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the components of net periodic benefit costs, other changes in plan assets and benefit obligation recognized in other comprehensive income.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4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40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6"/>
                <w:szCs w:val="16"/>
                <w:color w:val="auto"/>
              </w:rPr>
            </w:pPr>
          </w:p>
        </w:tc>
      </w:tr>
      <w:tr>
        <w:trPr>
          <w:trHeight w:val="131"/>
        </w:trPr>
        <w:tc>
          <w:tcPr>
            <w:tcW w:w="4020" w:type="dxa"/>
            <w:vAlign w:val="bottom"/>
          </w:tcPr>
          <w:p>
            <w:pPr>
              <w:spacing w:after="0"/>
              <w:rPr>
                <w:sz w:val="11"/>
                <w:szCs w:val="11"/>
                <w:color w:val="auto"/>
              </w:rPr>
            </w:pPr>
          </w:p>
        </w:tc>
        <w:tc>
          <w:tcPr>
            <w:tcW w:w="760" w:type="dxa"/>
            <w:vAlign w:val="bottom"/>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w w:val="99"/>
              </w:rPr>
              <w:t>Non-U.S.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1"/>
                <w:szCs w:val="11"/>
                <w:color w:val="auto"/>
              </w:rPr>
            </w:pPr>
          </w:p>
        </w:tc>
        <w:tc>
          <w:tcPr>
            <w:tcW w:w="94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1"/>
                <w:szCs w:val="11"/>
                <w:color w:val="auto"/>
              </w:rPr>
            </w:pPr>
          </w:p>
        </w:tc>
        <w:tc>
          <w:tcPr>
            <w:tcW w:w="920" w:type="dxa"/>
            <w:vAlign w:val="bottom"/>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Non-U.S.</w:t>
            </w:r>
          </w:p>
        </w:tc>
      </w:tr>
      <w:tr>
        <w:trPr>
          <w:trHeight w:val="191"/>
        </w:trPr>
        <w:tc>
          <w:tcPr>
            <w:tcW w:w="40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gain</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(gain)</w:t>
            </w: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71"/>
        </w:trPr>
        <w:tc>
          <w:tcPr>
            <w:tcW w:w="40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Other changes in plan assets and benefit obligation</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7"/>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recognized in other comprehensive income (OCI)</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 emerging</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benefits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7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OCI</w:t>
            </w: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 and OCI</w:t>
            </w:r>
          </w:p>
        </w:tc>
        <w:tc>
          <w:tcPr>
            <w:tcW w:w="7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4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40" w:firstLine="395"/>
        <w:spacing w:after="0" w:line="268" w:lineRule="auto"/>
        <w:rPr>
          <w:sz w:val="20"/>
          <w:szCs w:val="20"/>
          <w:color w:val="auto"/>
        </w:rPr>
      </w:pPr>
      <w:r>
        <w:rPr>
          <w:rFonts w:ascii="Times New Roman" w:cs="Times New Roman" w:eastAsia="Times New Roman" w:hAnsi="Times New Roman"/>
          <w:sz w:val="18"/>
          <w:szCs w:val="18"/>
          <w:color w:val="auto"/>
        </w:rPr>
        <w:t>The estimated prior service credit and net gain for the defined benefit plans to be amortized from accumulated other comprehensive income (loss) into net periodic benefit cost during 2026 are expected to be $1 and $7, respectively.</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assumptions used to determine pension plan obligations and net periodic benefit costs for the plans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6"/>
                <w:szCs w:val="16"/>
                <w:color w:val="auto"/>
              </w:rPr>
            </w:pPr>
          </w:p>
        </w:tc>
      </w:tr>
      <w:tr>
        <w:trPr>
          <w:trHeight w:val="24"/>
        </w:trPr>
        <w:tc>
          <w:tcPr>
            <w:tcW w:w="36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8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1080" w:type="dxa"/>
            <w:vAlign w:val="bottom"/>
            <w:gridSpan w:val="2"/>
          </w:tcPr>
          <w:p>
            <w:pPr>
              <w:spacing w:after="0"/>
              <w:rPr>
                <w:sz w:val="2"/>
                <w:szCs w:val="2"/>
                <w:color w:val="auto"/>
              </w:rPr>
            </w:pPr>
          </w:p>
        </w:tc>
        <w:tc>
          <w:tcPr>
            <w:tcW w:w="15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r>
      <w:tr>
        <w:trPr>
          <w:trHeight w:val="127"/>
        </w:trPr>
        <w:tc>
          <w:tcPr>
            <w:tcW w:w="3660" w:type="dxa"/>
            <w:vAlign w:val="bottom"/>
          </w:tcPr>
          <w:p>
            <w:pPr>
              <w:spacing w:after="0"/>
              <w:rPr>
                <w:sz w:val="11"/>
                <w:szCs w:val="11"/>
                <w:color w:val="auto"/>
              </w:rPr>
            </w:pPr>
          </w:p>
        </w:tc>
        <w:tc>
          <w:tcPr>
            <w:tcW w:w="1480" w:type="dxa"/>
            <w:vAlign w:val="bottom"/>
            <w:tcBorders>
              <w:top w:val="single" w:sz="8" w:color="auto"/>
            </w:tcBorders>
            <w:gridSpan w:val="3"/>
          </w:tcPr>
          <w:p>
            <w:pPr>
              <w:ind w:left="440"/>
              <w:spacing w:after="0" w:line="127"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Borders>
              <w:top w:val="single" w:sz="8" w:color="auto"/>
            </w:tcBorders>
          </w:tcPr>
          <w:p>
            <w:pPr>
              <w:jc w:val="center"/>
              <w:ind w:right="156"/>
              <w:spacing w:after="0" w:line="127" w:lineRule="exact"/>
              <w:rPr>
                <w:sz w:val="20"/>
                <w:szCs w:val="20"/>
                <w:color w:val="auto"/>
              </w:rPr>
            </w:pPr>
            <w:r>
              <w:rPr>
                <w:rFonts w:ascii="Times New Roman" w:cs="Times New Roman" w:eastAsia="Times New Roman" w:hAnsi="Times New Roman"/>
                <w:sz w:val="14"/>
                <w:szCs w:val="14"/>
                <w:b w:val="1"/>
                <w:bCs w:val="1"/>
                <w:color w:val="auto"/>
                <w:w w:val="99"/>
              </w:rPr>
              <w:t>Non-U.S.</w:t>
            </w:r>
          </w:p>
        </w:tc>
        <w:tc>
          <w:tcPr>
            <w:tcW w:w="100" w:type="dxa"/>
            <w:vAlign w:val="bottom"/>
          </w:tcPr>
          <w:p>
            <w:pPr>
              <w:spacing w:after="0"/>
              <w:rPr>
                <w:sz w:val="11"/>
                <w:szCs w:val="11"/>
                <w:color w:val="auto"/>
              </w:rPr>
            </w:pPr>
          </w:p>
        </w:tc>
        <w:tc>
          <w:tcPr>
            <w:tcW w:w="1460" w:type="dxa"/>
            <w:vAlign w:val="bottom"/>
            <w:tcBorders>
              <w:top w:val="single" w:sz="8" w:color="auto"/>
            </w:tcBorders>
            <w:gridSpan w:val="3"/>
          </w:tcPr>
          <w:p>
            <w:pPr>
              <w:ind w:left="440"/>
              <w:spacing w:after="0" w:line="127"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Borders>
              <w:top w:val="single" w:sz="8" w:color="auto"/>
            </w:tcBorders>
          </w:tcPr>
          <w:p>
            <w:pPr>
              <w:jc w:val="center"/>
              <w:ind w:right="136"/>
              <w:spacing w:after="0" w:line="127" w:lineRule="exact"/>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Pr>
          <w:p>
            <w:pPr>
              <w:spacing w:after="0"/>
              <w:rPr>
                <w:sz w:val="11"/>
                <w:szCs w:val="11"/>
                <w:color w:val="auto"/>
              </w:rPr>
            </w:pPr>
          </w:p>
        </w:tc>
        <w:tc>
          <w:tcPr>
            <w:tcW w:w="1500" w:type="dxa"/>
            <w:vAlign w:val="bottom"/>
            <w:tcBorders>
              <w:top w:val="single" w:sz="8" w:color="auto"/>
            </w:tcBorders>
            <w:gridSpan w:val="3"/>
          </w:tcPr>
          <w:p>
            <w:pPr>
              <w:ind w:left="460"/>
              <w:spacing w:after="0" w:line="127"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Borders>
              <w:top w:val="single" w:sz="8" w:color="auto"/>
            </w:tcBorders>
          </w:tcPr>
          <w:p>
            <w:pPr>
              <w:jc w:val="right"/>
              <w:ind w:right="256"/>
              <w:spacing w:after="0" w:line="127" w:lineRule="exact"/>
              <w:rPr>
                <w:sz w:val="20"/>
                <w:szCs w:val="20"/>
                <w:color w:val="auto"/>
              </w:rPr>
            </w:pPr>
            <w:r>
              <w:rPr>
                <w:rFonts w:ascii="Times New Roman" w:cs="Times New Roman" w:eastAsia="Times New Roman" w:hAnsi="Times New Roman"/>
                <w:sz w:val="14"/>
                <w:szCs w:val="14"/>
                <w:b w:val="1"/>
                <w:bCs w:val="1"/>
                <w:color w:val="auto"/>
              </w:rPr>
              <w:t>Non-U.S.</w:t>
            </w:r>
          </w:p>
        </w:tc>
      </w:tr>
      <w:tr>
        <w:trPr>
          <w:trHeight w:val="190"/>
        </w:trPr>
        <w:tc>
          <w:tcPr>
            <w:tcW w:w="3660" w:type="dxa"/>
            <w:vAlign w:val="bottom"/>
          </w:tcPr>
          <w:p>
            <w:pPr>
              <w:spacing w:after="0"/>
              <w:rPr>
                <w:sz w:val="16"/>
                <w:szCs w:val="16"/>
                <w:color w:val="auto"/>
              </w:rPr>
            </w:pP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4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5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156"/>
        </w:trPr>
        <w:tc>
          <w:tcPr>
            <w:tcW w:w="36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Weighted average assumptions used to</w:t>
            </w: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77"/>
        </w:trPr>
        <w:tc>
          <w:tcPr>
            <w:tcW w:w="366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b w:val="1"/>
                <w:bCs w:val="1"/>
                <w:color w:val="auto"/>
              </w:rPr>
              <w:t>determine benefit obligations at</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1"/>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171"/>
        </w:trPr>
        <w:tc>
          <w:tcPr>
            <w:tcW w:w="36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Weighted average assumptions used to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7"/>
        </w:trPr>
        <w:tc>
          <w:tcPr>
            <w:tcW w:w="3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b w:val="1"/>
                <w:bCs w:val="1"/>
                <w:color w:val="auto"/>
              </w:rPr>
              <w:t>determine net periodic benefit costs for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1"/>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benefit obligations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service cost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interest cost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32"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discount rates for the Company's U.S. and non-U.S. plans are determined using a benchmark pension discount curve and applying spot rates from the curve to each year of expected benefit payments to determine the appropriate discount rate for the Company. The assumed long-term return on plan assets is estimated by considering factors such as the plan's overall investment strategy, current economic conditions and historical averages.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right="360" w:firstLine="395"/>
        <w:spacing w:after="0" w:line="250" w:lineRule="auto"/>
        <w:rPr>
          <w:sz w:val="20"/>
          <w:szCs w:val="20"/>
          <w:color w:val="auto"/>
        </w:rPr>
      </w:pPr>
      <w:r>
        <w:rPr>
          <w:rFonts w:ascii="Times New Roman" w:cs="Times New Roman" w:eastAsia="Times New Roman" w:hAnsi="Times New Roman"/>
          <w:sz w:val="18"/>
          <w:szCs w:val="18"/>
          <w:color w:val="auto"/>
        </w:rPr>
        <w:t>The Company's U.S. pension plan investments are held in the Westlake Defined Benefit Plan. The Company's overall investment strategy for these pension plan assets is to achieve a balance between moderate income generation and capital appreciation. The investment strategy includes a mix of approximately 55% of investments for long-term growth, and 45% for near-term benefit payments and liability hedging, with a diversification of asset types. These pension funds' investment policies target asset allocations of approximately 55% equity securities and 45% fixed income securities in order to pursue a balance between moderate income generation, capital appreciation and a reduction in funded status volatility.</w:t>
      </w:r>
    </w:p>
    <w:p>
      <w:pPr>
        <w:spacing w:after="0" w:line="133"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The Company's non-U.S. pension plan investments are primarily held in three pension plans in the Netherlands (collectively, the "Netherlands Plan"). Per the terms of the Netherlands Plan asset management agreement between the Company and the asset manager, the Netherlands Plan's current portfolio is strategically weighted towards fixed income securities. The Netherlands Plan's investment policy targets asset allocations of approximately 20% equity securities and 80% fixed income securities. The Netherlands Plan's investment strategy allows for re-allocations of either of the equity or the fixed income securities from 0% up to 100%.</w:t>
      </w:r>
    </w:p>
    <w:p>
      <w:pPr>
        <w:spacing w:after="0" w:line="133"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Equity securities primarily include investments in large-cap and small-cap companies located in the U.S. and international developed and emerging markets stocks. Fixed income securities are comprised of investment grade bonds, including U.S. Treasuries and U.S. and non-U.S. corporate bonds of companies from diversified industries. These bonds also include longer duration securities to reduce funding volatility and reduce the asset/liability mismatch in terms of interest rate sensitivity. The U.S. pension fund investment policy allows a discretionary range in various asset classes within the asset allocation model of up to 20%. The Company does not believe that there are significant concentrations of risk in the pension plan assets due to its strategy of asset diversification. At December 31, 2025, plan assets did not include direct ownership of the Company's common stock.</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Under the accounting guidance for fair value measurements, inputs used to measure fair value are classified in one of three levels: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61"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investments in the collective trust and mutual funds are valued using a market approach based on the net asset value of units held. The fair values of the Company's plan assets at December 31, by asset category,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
        </w:trPr>
        <w:tc>
          <w:tcPr>
            <w:tcW w:w="28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28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common stock:</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4"/>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1"/>
        </w:trPr>
        <w:tc>
          <w:tcPr>
            <w:tcW w:w="2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Collective investment trust and</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7"/>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funds—Equity securities:</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28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Large-cap funds </w:t>
            </w:r>
            <w:r>
              <w:rPr>
                <w:rFonts w:ascii="Times New Roman" w:cs="Times New Roman" w:eastAsia="Times New Roman" w:hAnsi="Times New Roman"/>
                <w:sz w:val="22"/>
                <w:szCs w:val="22"/>
                <w:color w:val="auto"/>
                <w:vertAlign w:val="superscript"/>
              </w:rPr>
              <w:t>(1)</w:t>
            </w: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282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Small-cap funds </w:t>
            </w:r>
            <w:r>
              <w:rPr>
                <w:rFonts w:ascii="Times New Roman" w:cs="Times New Roman" w:eastAsia="Times New Roman" w:hAnsi="Times New Roman"/>
                <w:sz w:val="22"/>
                <w:szCs w:val="22"/>
                <w:color w:val="auto"/>
                <w:vertAlign w:val="superscript"/>
              </w:rPr>
              <w:t>(2)</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8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International funds </w:t>
            </w:r>
            <w:r>
              <w:rPr>
                <w:rFonts w:ascii="Times New Roman" w:cs="Times New Roman" w:eastAsia="Times New Roman" w:hAnsi="Times New Roman"/>
                <w:sz w:val="22"/>
                <w:szCs w:val="22"/>
                <w:color w:val="auto"/>
                <w:vertAlign w:val="superscript"/>
              </w:rPr>
              <w:t>(3)</w:t>
            </w: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71"/>
        </w:trPr>
        <w:tc>
          <w:tcPr>
            <w:tcW w:w="2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Collective investment trust and</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7"/>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funds—Fixed income:</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28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Bond funds </w:t>
            </w:r>
            <w:r>
              <w:rPr>
                <w:rFonts w:ascii="Times New Roman" w:cs="Times New Roman" w:eastAsia="Times New Roman" w:hAnsi="Times New Roman"/>
                <w:sz w:val="22"/>
                <w:szCs w:val="22"/>
                <w:color w:val="auto"/>
                <w:vertAlign w:val="superscript"/>
              </w:rPr>
              <w:t>(4)</w:t>
            </w: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4"/>
        </w:trPr>
        <w:tc>
          <w:tcPr>
            <w:tcW w:w="2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insurance contract</w:t>
            </w:r>
          </w:p>
        </w:tc>
        <w:tc>
          <w:tcPr>
            <w:tcW w:w="7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2"/>
        </w:trPr>
        <w:tc>
          <w:tcPr>
            <w:tcW w:w="28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
        </w:trPr>
        <w:tc>
          <w:tcPr>
            <w:tcW w:w="28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28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common stock:</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4"/>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1"/>
        </w:trPr>
        <w:tc>
          <w:tcPr>
            <w:tcW w:w="2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Collective investment trust and</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7"/>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funds—Equity securities:</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28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Large-cap funds </w:t>
            </w:r>
            <w:r>
              <w:rPr>
                <w:rFonts w:ascii="Times New Roman" w:cs="Times New Roman" w:eastAsia="Times New Roman" w:hAnsi="Times New Roman"/>
                <w:sz w:val="22"/>
                <w:szCs w:val="22"/>
                <w:color w:val="auto"/>
                <w:vertAlign w:val="superscript"/>
              </w:rPr>
              <w:t>(1)</w:t>
            </w:r>
          </w:p>
        </w:tc>
        <w:tc>
          <w:tcPr>
            <w:tcW w:w="7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282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Small-cap funds </w:t>
            </w:r>
            <w:r>
              <w:rPr>
                <w:rFonts w:ascii="Times New Roman" w:cs="Times New Roman" w:eastAsia="Times New Roman" w:hAnsi="Times New Roman"/>
                <w:sz w:val="22"/>
                <w:szCs w:val="22"/>
                <w:color w:val="auto"/>
                <w:vertAlign w:val="superscript"/>
              </w:rPr>
              <w:t>(2)</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8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International funds </w:t>
            </w:r>
            <w:r>
              <w:rPr>
                <w:rFonts w:ascii="Times New Roman" w:cs="Times New Roman" w:eastAsia="Times New Roman" w:hAnsi="Times New Roman"/>
                <w:sz w:val="22"/>
                <w:szCs w:val="22"/>
                <w:color w:val="auto"/>
                <w:vertAlign w:val="superscript"/>
              </w:rPr>
              <w:t>(3)</w:t>
            </w:r>
          </w:p>
        </w:tc>
        <w:tc>
          <w:tcPr>
            <w:tcW w:w="7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71"/>
        </w:trPr>
        <w:tc>
          <w:tcPr>
            <w:tcW w:w="2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Collective investment trust and</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7"/>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funds—Fixed income:</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28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Bond funds </w:t>
            </w:r>
            <w:r>
              <w:rPr>
                <w:rFonts w:ascii="Times New Roman" w:cs="Times New Roman" w:eastAsia="Times New Roman" w:hAnsi="Times New Roman"/>
                <w:sz w:val="22"/>
                <w:szCs w:val="22"/>
                <w:color w:val="auto"/>
                <w:vertAlign w:val="superscript"/>
              </w:rPr>
              <w:t>(4)</w:t>
            </w:r>
          </w:p>
        </w:tc>
        <w:tc>
          <w:tcPr>
            <w:tcW w:w="7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4"/>
        </w:trPr>
        <w:tc>
          <w:tcPr>
            <w:tcW w:w="2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insurance contract</w:t>
            </w:r>
          </w:p>
        </w:tc>
        <w:tc>
          <w:tcPr>
            <w:tcW w:w="7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2"/>
        </w:trPr>
        <w:tc>
          <w:tcPr>
            <w:tcW w:w="28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400" w:right="500" w:hanging="395"/>
        <w:spacing w:after="0" w:line="268" w:lineRule="auto"/>
        <w:tabs>
          <w:tab w:leader="none" w:pos="3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assets of these funds are invested in large-cap U.S. companies. The remainder of the assets of these funds is invested in cash reserves.</w:t>
      </w:r>
    </w:p>
    <w:p>
      <w:pPr>
        <w:spacing w:after="0" w:line="11" w:lineRule="exact"/>
        <w:rPr>
          <w:rFonts w:ascii="Times New Roman" w:cs="Times New Roman" w:eastAsia="Times New Roman" w:hAnsi="Times New Roman"/>
          <w:sz w:val="18"/>
          <w:szCs w:val="18"/>
          <w:color w:val="auto"/>
        </w:rPr>
      </w:pPr>
    </w:p>
    <w:p>
      <w:pPr>
        <w:ind w:left="400" w:right="480" w:hanging="395"/>
        <w:spacing w:after="0" w:line="268" w:lineRule="auto"/>
        <w:tabs>
          <w:tab w:leader="none" w:pos="3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assets of these funds are invested in small-cap U.S. companies. The remainder of the assets of these funds is invested in cash reserves.</w:t>
      </w:r>
    </w:p>
    <w:p>
      <w:pPr>
        <w:spacing w:after="0" w:line="11" w:lineRule="exact"/>
        <w:rPr>
          <w:rFonts w:ascii="Times New Roman" w:cs="Times New Roman" w:eastAsia="Times New Roman" w:hAnsi="Times New Roman"/>
          <w:sz w:val="18"/>
          <w:szCs w:val="18"/>
          <w:color w:val="auto"/>
        </w:rPr>
      </w:pPr>
    </w:p>
    <w:p>
      <w:pPr>
        <w:ind w:left="400" w:hanging="395"/>
        <w:spacing w:after="0" w:line="256" w:lineRule="auto"/>
        <w:tabs>
          <w:tab w:leader="none" w:pos="3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these assets of the U.S. Plans' funds are invested in international companies in developed markets (excluding the U.S.), and the remainder of the assets of these funds is invested in cash reserves. The assets of the non-U.S. Plans' funds are primarily invested in diversified global equities, real estate and private equities.</w:t>
      </w:r>
    </w:p>
    <w:p>
      <w:pPr>
        <w:spacing w:after="0" w:line="21" w:lineRule="exact"/>
        <w:rPr>
          <w:rFonts w:ascii="Times New Roman" w:cs="Times New Roman" w:eastAsia="Times New Roman" w:hAnsi="Times New Roman"/>
          <w:sz w:val="18"/>
          <w:szCs w:val="18"/>
          <w:color w:val="auto"/>
        </w:rPr>
      </w:pPr>
    </w:p>
    <w:p>
      <w:pPr>
        <w:ind w:left="400" w:right="280" w:hanging="395"/>
        <w:spacing w:after="0" w:line="268" w:lineRule="auto"/>
        <w:tabs>
          <w:tab w:leader="none" w:pos="3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assets of the U.S. Plans' funds represent investment grade bonds of U.S. issuers, including U.S. Treasury notes. The assets of the non-U.S. Plans represent fixed income funds that are primarily invested in international government bonds and mortgage funds.</w:t>
      </w:r>
    </w:p>
    <w:p>
      <w:pPr>
        <w:spacing w:after="0" w:line="117" w:lineRule="exact"/>
        <w:rPr>
          <w:sz w:val="20"/>
          <w:szCs w:val="20"/>
          <w:color w:val="auto"/>
        </w:rPr>
      </w:pPr>
    </w:p>
    <w:p>
      <w:pPr>
        <w:ind w:right="20" w:firstLine="395"/>
        <w:spacing w:after="0" w:line="332" w:lineRule="auto"/>
        <w:rPr>
          <w:sz w:val="20"/>
          <w:szCs w:val="20"/>
          <w:color w:val="auto"/>
        </w:rPr>
      </w:pPr>
      <w:r>
        <w:rPr>
          <w:rFonts w:ascii="Times New Roman" w:cs="Times New Roman" w:eastAsia="Times New Roman" w:hAnsi="Times New Roman"/>
          <w:sz w:val="16"/>
          <w:szCs w:val="16"/>
          <w:color w:val="auto"/>
        </w:rPr>
        <w:t>The Company's funding policy for its U.S. plans is consistent with the minimum funding requirements of federal law and regulations. Based on preliminary estimates, the Company expects to make contributions of approximately $10 and $5 for the U.S. and Non-U.S. pension plans, respectively,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Multi-employer Plans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Plans</w:t>
      </w:r>
    </w:p>
    <w:p>
      <w:pPr>
        <w:spacing w:after="0" w:line="98"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The Company participates in two multi-employer plans, Pensionskasse der Mitarbeiter der Hoechst-Gruppe VVaG and Pensionskasse der Wacker-Chemie GmbH VVaG, which provide benefits to certain of the Company's employees in Germany. These multi-employer plans are closed to new participants. The plans provide fixed, monthly retirement payments on the basis of the credits earned by the participating employees. To the extent that the plans are underfunded, future contributions to the plans may increase and may be used to fund retirement benefits for employees related to other employers. The benefit obligations are covered up to a certain salary threshold by contributions made by the Company and employees to the plans. Contributions to the Company's multi-employer plans are expensed as incurred.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Post-retirement Benefits</w:t>
      </w:r>
    </w:p>
    <w:p>
      <w:pPr>
        <w:spacing w:after="0" w:line="87"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In the U.S., the Company provides post-retirement healthcare and life insurance benefits for certain employees and their dependents who meet minimum age and service requirements. The Company has the right to modify or terminate some of these benefits. The Company has a post-retirement plan in Canada which is unfunded and provides medical and life insurance benefits for certain employees and their dependents. The Company also has an unfunded post-retirement benefit plan in the Netherlands.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Future Benefit Payments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benefit payments are expected to be paid: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Pension</w:t>
            </w:r>
          </w:p>
        </w:tc>
      </w:tr>
      <w:tr>
        <w:trPr>
          <w:trHeight w:val="190"/>
        </w:trPr>
        <w:tc>
          <w:tcPr>
            <w:tcW w:w="9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0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4"/>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4"/>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6 to 10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85" w:lineRule="exact"/>
        <w:rPr>
          <w:sz w:val="20"/>
          <w:szCs w:val="20"/>
          <w:color w:val="auto"/>
        </w:rPr>
      </w:pPr>
    </w:p>
    <w:p>
      <w:pPr>
        <w:ind w:right="120" w:firstLine="395"/>
        <w:spacing w:after="0" w:line="246" w:lineRule="auto"/>
        <w:rPr>
          <w:sz w:val="20"/>
          <w:szCs w:val="20"/>
          <w:color w:val="auto"/>
        </w:rPr>
      </w:pPr>
      <w:r>
        <w:rPr>
          <w:rFonts w:ascii="Times New Roman" w:cs="Times New Roman" w:eastAsia="Times New Roman" w:hAnsi="Times New Roman"/>
          <w:sz w:val="18"/>
          <w:szCs w:val="18"/>
          <w:color w:val="auto"/>
        </w:rPr>
        <w:t>Under the Westlake Corporation 2013 Omnibus Incentive Plan (as amended and restated in 2023, the "2013 Plan"), all employees and non-employee directors of the Company, as well as certain individuals who have agreed to become the Company's employees, are eligible for awards. Shares of common stock may be issued as authorized in the 2013 Plan. At the discretion of the administrator of the 2013 Plan, employees and non-employee directors may be granted awards in the form of stock options, stock appreciation rights, stock awards, restricted stock units or cash awards (any of which may be a performance award). Outstanding stock option awards have a 10-year term and vest ratably on an annual basis over a three-year period. Outstanding restricted stock units and performance stock units vest at the end of a one to five-year period. In accordance with accounting guidance related to share-based payments, stock-based compensation expense for all stock-based compensation awards is based on estimated grant-date fair value. The Company recognizes these stock-based compensation costs net of a forfeiture rate and on a straight-line basis over the requisite service period of the award for only those shares expected to vest. For the years ended December 31, 2025, 2024 and 2023, the total recognized stock-based compensation expense related to equity awards issued under the 2013 Plan was $42, $41 and $40, respectively.</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Option activity and changes during the year ended December 31, 2025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2"/>
                <w:szCs w:val="12"/>
                <w:color w:val="auto"/>
              </w:rPr>
            </w:pPr>
          </w:p>
        </w:tc>
        <w:tc>
          <w:tcPr>
            <w:tcW w:w="1200" w:type="dxa"/>
            <w:vAlign w:val="bottom"/>
          </w:tcPr>
          <w:p>
            <w:pPr>
              <w:jc w:val="center"/>
              <w:ind w:right="162"/>
              <w:spacing w:after="0" w:line="14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4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90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829,130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93.10</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902"/>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2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For options outstanding at December 31, 2025, the options had the following range of exercise prices: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2"/>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40" w:type="dxa"/>
            <w:vAlign w:val="bottom"/>
          </w:tcPr>
          <w:p>
            <w:pPr>
              <w:spacing w:after="0"/>
              <w:rPr>
                <w:sz w:val="12"/>
                <w:szCs w:val="12"/>
                <w:color w:val="auto"/>
              </w:rPr>
            </w:pPr>
          </w:p>
        </w:tc>
        <w:tc>
          <w:tcPr>
            <w:tcW w:w="1200" w:type="dxa"/>
            <w:vAlign w:val="bottom"/>
          </w:tcPr>
          <w:p>
            <w:pPr>
              <w:jc w:val="center"/>
              <w:ind w:right="182"/>
              <w:spacing w:after="0" w:line="14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Prices</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62"/>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240" w:type="dxa"/>
            <w:vAlign w:val="bottom"/>
          </w:tcPr>
          <w:p>
            <w:pPr>
              <w:spacing w:after="0"/>
              <w:rPr>
                <w:sz w:val="12"/>
                <w:szCs w:val="12"/>
                <w:color w:val="auto"/>
              </w:rPr>
            </w:pPr>
          </w:p>
        </w:tc>
        <w:tc>
          <w:tcPr>
            <w:tcW w:w="1200" w:type="dxa"/>
            <w:vAlign w:val="bottom"/>
          </w:tcPr>
          <w:p>
            <w:pPr>
              <w:jc w:val="center"/>
              <w:ind w:right="142"/>
              <w:spacing w:after="0" w:line="123" w:lineRule="exact"/>
              <w:rPr>
                <w:sz w:val="20"/>
                <w:szCs w:val="20"/>
                <w:color w:val="auto"/>
              </w:rPr>
            </w:pPr>
            <w:r>
              <w:rPr>
                <w:rFonts w:ascii="Times New Roman" w:cs="Times New Roman" w:eastAsia="Times New Roman" w:hAnsi="Times New Roman"/>
                <w:sz w:val="14"/>
                <w:szCs w:val="14"/>
                <w:b w:val="1"/>
                <w:bCs w:val="1"/>
                <w:color w:val="auto"/>
                <w:w w:val="97"/>
              </w:rPr>
              <w:t>Life (Years)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$44.42 - $65.81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62"/>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2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$79.83 - $86.54</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862"/>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24"/>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$107.75 - $108.12</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6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$110.15 - $110.15</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862"/>
              <w:spacing w:after="0"/>
              <w:rPr>
                <w:sz w:val="20"/>
                <w:szCs w:val="20"/>
                <w:color w:val="auto"/>
              </w:rPr>
            </w:pPr>
            <w:r>
              <w:rPr>
                <w:rFonts w:ascii="Times New Roman" w:cs="Times New Roman" w:eastAsia="Times New Roman" w:hAnsi="Times New Roman"/>
                <w:sz w:val="18"/>
                <w:szCs w:val="18"/>
                <w:color w:val="auto"/>
                <w:w w:val="97"/>
              </w:rPr>
              <w:t>9.1</w:t>
            </w:r>
          </w:p>
        </w:tc>
        <w:tc>
          <w:tcPr>
            <w:tcW w:w="0" w:type="dxa"/>
            <w:vAlign w:val="bottom"/>
          </w:tcPr>
          <w:p>
            <w:pPr>
              <w:spacing w:after="0"/>
              <w:rPr>
                <w:sz w:val="1"/>
                <w:szCs w:val="1"/>
                <w:color w:val="auto"/>
              </w:rPr>
            </w:pPr>
          </w:p>
        </w:tc>
      </w:tr>
      <w:tr>
        <w:trPr>
          <w:trHeight w:val="224"/>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$122.65 - $144.49</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62"/>
              <w:spacing w:after="0"/>
              <w:rPr>
                <w:sz w:val="20"/>
                <w:szCs w:val="20"/>
                <w:color w:val="auto"/>
              </w:rPr>
            </w:pPr>
            <w:r>
              <w:rPr>
                <w:rFonts w:ascii="Times New Roman" w:cs="Times New Roman" w:eastAsia="Times New Roman" w:hAnsi="Times New Roman"/>
                <w:sz w:val="18"/>
                <w:szCs w:val="18"/>
                <w:color w:val="auto"/>
                <w:w w:val="97"/>
              </w:rPr>
              <w:t>7.6</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(the difference between the Company's closing stock price on the last trading day of the year and the exercise price, multiplied by the number of in-the-money options) that would have been received by the option holders had all option holders exercised their options on December 31, 2025. This amount changes based on the fair market value of the Company's common stock. For the years ended December 31, 2025, 2024 and 2023, the total intrinsic value of options exercised was $3, $9 and $34, respectively.</w:t>
      </w:r>
    </w:p>
    <w:p>
      <w:pPr>
        <w:spacing w:after="0" w:line="13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$9 of total unrecognized compensation cost related to stock options is expected to be recognized over a weighted-average period of 1.7 years. Income tax benefits of $1, $2 and $4 were realized from the exercise of stock options during the years ended December 31, 2025, 2024 and 2023,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Company used the Black-Scholes option pricing model to value its options. The table below presents the weighted average value and assumptions used in determining each option's fair value. Volatility was calculated using historical trends of the Company's common stock price.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Stock Option Grants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3"/>
              </w:rPr>
              <w:t>36.52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2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447"/>
        </w:trPr>
        <w:tc>
          <w:tcPr>
            <w:tcW w:w="970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w w:val="98"/>
              </w:rPr>
              <w:t>Non-vested restricted stock units as of December 31, 2025 and changes during the year ended December 31, 2025 were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6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8"/>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5"/>
        </w:trPr>
        <w:tc>
          <w:tcPr>
            <w:tcW w:w="6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8"/>
              <w:spacing w:after="0" w:line="14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Nov-vested at December 31, 2024</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22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290,064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2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0" w:type="dxa"/>
            <w:vAlign w:val="bottom"/>
          </w:tcPr>
          <w:p>
            <w:pPr>
              <w:spacing w:after="0"/>
              <w:rPr>
                <w:sz w:val="1"/>
                <w:szCs w:val="1"/>
                <w:color w:val="auto"/>
              </w:rPr>
            </w:pPr>
          </w:p>
        </w:tc>
      </w:tr>
      <w:tr>
        <w:trPr>
          <w:trHeight w:val="237"/>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Nov-vested at December 31, 2025</w:t>
            </w:r>
          </w:p>
        </w:tc>
        <w:tc>
          <w:tcPr>
            <w:tcW w:w="9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607,447</w:t>
            </w:r>
          </w:p>
        </w:tc>
        <w:tc>
          <w:tcPr>
            <w:tcW w:w="340" w:type="dxa"/>
            <w:vAlign w:val="bottom"/>
            <w:tcBorders>
              <w:top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40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there was $32 of unrecognized stock-based compensation expense related to non-vested restricted stock units. This cost is expected to be recognized over a weighted-average period of 1.8 years. The total fair value of restricted stock units that vested during the years ended December 31, 2025, 2024 and 2023 was $23, $30 and $28, respectively.</w:t>
      </w:r>
    </w:p>
    <w:p>
      <w:pPr>
        <w:spacing w:after="0" w:line="127"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Performance stock unit payout is based on the greater of the average annual economic-value added results for the Company (equal to net operating profit after tax less a capital charge based upon the weighted average cost of capital) and relative total shareholder return as compared to a peer group of companies. The units have payouts that range from zero to 200 percent of the target award.</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Non-vested performance stock units as of December 31, 2025 and changes during the year ended December 31, 2025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5"/>
        </w:trPr>
        <w:tc>
          <w:tcPr>
            <w:tcW w:w="8260" w:type="dxa"/>
            <w:vAlign w:val="bottom"/>
          </w:tcPr>
          <w:p>
            <w:pPr>
              <w:spacing w:after="0"/>
              <w:rPr>
                <w:sz w:val="12"/>
                <w:szCs w:val="12"/>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00" w:type="dxa"/>
            <w:vAlign w:val="bottom"/>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3"/>
        </w:trPr>
        <w:tc>
          <w:tcPr>
            <w:tcW w:w="8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6"/>
                <w:szCs w:val="16"/>
                <w:color w:val="auto"/>
              </w:rPr>
            </w:pPr>
          </w:p>
        </w:tc>
        <w:tc>
          <w:tcPr>
            <w:tcW w:w="12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2"/>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Nov-vested at December 31,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Nov-vested at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there was $12 of unrecognized stock-based compensation expense related to non-vested performance stock units. This cost is expected to be recognized over a weighted-average period of 1.7 years. The total fair value of performance stock units that vested during the years ended December 31, 2025, 2024 and 2023 was $7, $10 and $13,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Company used a Monte Carlo simulation model to value the performance stock units on the grant date. The expected term is based on the three-year performance period. The table below presents the assumptions used in determining grant date fair value. Volatility was calculated using historical trends of the Company's common stock price.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Performance Stock Units</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91"/>
        </w:trPr>
        <w:tc>
          <w:tcPr>
            <w:tcW w:w="55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Westlake Corporation common stock</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2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- 53.2%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- 46.4%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- 53.2%</w:t>
            </w:r>
          </w:p>
        </w:tc>
      </w:tr>
      <w:tr>
        <w:trPr>
          <w:trHeight w:val="22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correlation coefficient of peer companies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118.12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167.76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Awards</w:t>
      </w:r>
    </w:p>
    <w:p>
      <w:pPr>
        <w:spacing w:after="0" w:line="10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The Company's wholly-owned subsidiary and the general partner of Westlake Partners, Westlake Chemical Partners GP LLC ("Westlake Partners GP"), maintains a unit-based compensation plan for directors and employees of Westlake Partners GP and Westlake Partners.</w:t>
      </w:r>
    </w:p>
    <w:p>
      <w:pPr>
        <w:spacing w:after="0" w:line="117"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Westlake Partners 2014 Long-term Incentive Plan ("Westlake Partners 2014 Plan") permits various types of equity awards including but not limited to grants of phantom units and restricted units. Awards granted under the Westlake Partners 2014 Plan may be settled with Westlake Partners units or in cash or a combination thereof. Compensation expense for these awards was not material to the Company's consolidated financial statements for the years ended December 31, 2025, 2024 and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98"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Company's consolidated balance sheets for cash and cash equivalents, accounts receivable, net and accounts payable approximate their fair value due to the short maturities of these instruments. The carrying and fair values of the Company's long-term debt at December 31, 2025 and 2024 are summarized in the table below.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r>
      <w:tr>
        <w:trPr>
          <w:trHeight w:val="24"/>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5"/>
        </w:trPr>
        <w:tc>
          <w:tcPr>
            <w:tcW w:w="5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44"/>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44"/>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1"/>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6"/>
                <w:szCs w:val="16"/>
                <w:color w:val="auto"/>
              </w:rPr>
            </w:pPr>
          </w:p>
        </w:tc>
        <w:tc>
          <w:tcPr>
            <w:tcW w:w="11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The Company's provision for (benefit from) income taxes consisted of the following:</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Company adopted ASU 2023-09 in the 2025 annual period and applied this standard prospectively. The adoption of this ASU resulted in additional income tax disclosures. A reconciliation of taxes computed at the statutory rate to the Company's income tax expense (benefit)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30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4"/>
        </w:trPr>
        <w:tc>
          <w:tcPr>
            <w:tcW w:w="8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8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 net of federal income tax effect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4"/>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Provincial taxes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Canada</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4"/>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Netherlands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4"/>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4"/>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Netherlands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4"/>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4"/>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4"/>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In the 2025 annual period, state and local income taxes in Louisiana and Mississippi comprise the majority of the state and local income taxes, net of federal income tax effect category.</w:t>
      </w:r>
    </w:p>
    <w:p>
      <w:pPr>
        <w:spacing w:after="0" w:line="117"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comparative periods are presented based on the prior guidance. A reconciliation of taxes computed at the statutory rate to the Company's income tax expense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52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 at statutory rate</w:t>
            </w: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provision, net of federal income tax effect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research and development credits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state apportionment and tax rates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2"/>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Company's income taxes paid is presented in accordance with ASU 2023-09 and the standard is applied prospectively. The income taxes paid, net of refunds received,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1"/>
        </w:trPr>
        <w:tc>
          <w:tcPr>
            <w:tcW w:w="9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4"/>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Taiwan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Korea</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9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2"/>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effects of the principal temporary differences between financial reporting and income tax reporting at December 31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carryforward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 assets—total</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Turnaround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partnerships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liabilities—total</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1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classifications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At December 31, 2025, the Company had federal, foreign and state net operating loss carryforwards ("NOLs") of approximately $611, $1,228 and $1,683, respectively. The $611 of federal NOLs do not expire. Of the $1,228 of foreign NOLs, $1,186 do not expire and $42 expire in varying amounts between 2026 and 2030. Of the $1,683 of state NOLs, $970 do not expire and $713 expire in varying amounts between 2026 and 2045. The utilization of federal NOLs and certain foreign and state NOLs are subject to annual limitations. On December 31, 2025, the Company had various federal and state credit carryforwards of $2 and $28, respectively, of which $16 do not expire and $14 expire in varying amounts between 2026 and 2040. Management believes the Company will realize the benefit of a portion of the net operating loss and credit carryforwards before they expire, but to the extent that the full benefit may not be realized, a valuation allowance has been recorded. The valuation allowance increased by $128 primarily due to various states' net operating loss and credit carryforwards and net operating loss carryforwards generated from continuing operations of Westlake's base epoxy resin business in the Netherlands are not expected to be realized.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valuation allowance: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beginning of year</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allowances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Reversals &amp; other changes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3"/>
        </w:trPr>
        <w:tc>
          <w:tcPr>
            <w:tcW w:w="87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8"/>
              </w:rPr>
              <w:t>The following table presents a reconciliation of the beginning and ending amounts of gross unrecognized tax benefits: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6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beginning of year</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end of year</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The Company's total gross unrecognized tax benefits were $42, $42 and $35 as of December 31, 2025, 2024 and 2023, respectively. If recognized, the majority of the gross unrecognized tax benefit would favorably affect the effective tax rate.</w:t>
      </w:r>
    </w:p>
    <w:p>
      <w:pPr>
        <w:spacing w:after="0" w:line="117"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income tax expense. Interest and penalties related to unrecognized tax benefits accrued at the end of each respective period were $6, $4, and $3. The potential changes, ultimate resolution and timing of payment for remaining matters continue to be uncertain.</w:t>
      </w:r>
    </w:p>
    <w:p>
      <w:pPr>
        <w:spacing w:after="0" w:line="127"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and foreign jurisdictions. The Company is no longer subject to examinations by tax authorities before the year 2017.</w:t>
      </w:r>
    </w:p>
    <w:p>
      <w:pPr>
        <w:spacing w:after="0" w:line="117"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"OECD")/G20 Inclusive Framework on Base Erosion and Profit Shifting released a statement indicating that its members had agreed to a Two Pillar Solution to Address the Tax Challenges Arising from the Digitalisation of the Economy. Pillar One aims to reallocate a taxpayer's residual profits to the market jurisdictions with which the taxpayer has a nexus. Pillar One targets multinational companies with global annual revenue exceeding €20 billion and profit-to-revenue ratio of more than 10%. Based on the current threshold requirements, the Company does not expect to be subject to Pillar One. Pillar Two aims to establish a minimum global tax rate of 15%, assessed through a top-up tax imposed on a country-by-country basis. The impacts of Pillar Two have been recorded since 2024, the first year in which the rules take effect and are immaterial to the Company. The Company continues to closely monitor and evaluate Pillar Two developments, including the January 5th OECD guidance introducing a Side-by-Side Safe Harbor applicable to U.S. parented groups. The guidance also introduced several other new Safe Harbors and extended the Country-by-Country Safe Harbor.</w:t>
      </w:r>
    </w:p>
    <w:p>
      <w:pPr>
        <w:spacing w:after="0" w:line="136"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 December 4, 2024, the Governor of Louisiana signed into law a package of tax reform bills, effective January 1, 2025 and January 1, 2026. Among other things, the laws reduce the corporate state income tax rate, repeal the corporate state franchise tax and eliminate preferential apportionment treatment for companies with sales and inventory in foreign trade zones. In the fourth quarter of 2024, the Company recognized a one-time charge of approximately $45 for the revaluation of state deferred tax assets and deferred tax liabilities associated with the change in corporate state income tax and apportionment rates resulting from this change. The Company will continue to evaluate the impact of these tax law changes.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right="140" w:firstLine="395"/>
        <w:spacing w:after="0" w:line="248" w:lineRule="auto"/>
        <w:rPr>
          <w:sz w:val="20"/>
          <w:szCs w:val="20"/>
          <w:color w:val="auto"/>
        </w:rPr>
      </w:pPr>
      <w:r>
        <w:rPr>
          <w:rFonts w:ascii="Times New Roman" w:cs="Times New Roman" w:eastAsia="Times New Roman" w:hAnsi="Times New Roman"/>
          <w:sz w:val="18"/>
          <w:szCs w:val="18"/>
          <w:color w:val="auto"/>
        </w:rPr>
        <w:t>On July 4, 2025, President Trump signed into law the legislation commonly referred to as the One Big Beautiful Bill Act ("OBBBA"), which includes a broad range of tax reform provisions affecting corporations. The OBBBA, among other changes, permanently reinstates the "bonus" depreciation provisions that allow for the immediate expensing of 100% of the cost of certain qualified property, permanently reinstates the elective immediate expensing of domestic research and experimental expenditures paid or incurred and permanently relaxes the limitation on the deductibility of business interest. The OBBBA also modifies certain international tax provisions. The Company evaluated the impact of these tax law changes and recognized the associated income tax effects in the consolidated financial statements beginning in the third quarter of 2025, the period of enactment. At this time, the Company expects these tax law changes to reduce its cash tax without materially impacting its effective income tax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and Dividends per Share</w:t>
      </w:r>
    </w:p>
    <w:p>
      <w:pPr>
        <w:spacing w:after="0" w:line="85"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The Company has unvested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the periods. Diluted earnings per share include the effects of certain stock options and performance stock units.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Westlake Corporation</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participating securities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denominator for the basic and diluted earnings per share computations shown in the consolidated statements of operations: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128,260,331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128,535,226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127,806,317</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Assumed exercise of options and vesting of performance stock units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792,124</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128,260,331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129,206,922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128,598,441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Westlake Corporation</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6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Excluded from the computation of diluted earnings per share for the years ended December 31, 2025, 2024 and 2023 are options to purchase 920,880, 275,024 and 263,131 shares of common stock, respectively. Performance stock units assumed vesting of 167,030 for the year ended December 31, 2025 is also excluded. These options and performance stock units were excluded because the effect of including them would have been antidilutive.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per Share</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Dividends per common share for the years ended December 31, 2025, 2024 and 2023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88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Supplemental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 and Remaining Performance Obligations</w:t>
      </w:r>
    </w:p>
    <w:p>
      <w:pPr>
        <w:spacing w:after="0" w:line="100"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In May 2022, the Company entered into a chlorine and hydrogen chloride exchange contract with one of its customers. In the third quarter of 2025, the Company received an up-front payment of $70, representing a fixed portion of the total transaction price. The up-front fee was recorded as a contract liability and will be recognized ratably in net sales over the 20-year contract period. In addition to the fixed portion of the transaction price, the Company charges certain variable fees under the contract.</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total contract liabilities, primarily included in other liabilities on the balance sheet,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42</w:t>
            </w:r>
          </w:p>
        </w:tc>
      </w:tr>
      <w:tr>
        <w:trPr>
          <w:trHeight w:val="171"/>
        </w:trPr>
        <w:tc>
          <w:tcPr>
            <w:tcW w:w="674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Revenues recognized that were included in the contract liability</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7"/>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the beginning of the period</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5"/>
              </w:rPr>
              <w:t>(5)</w:t>
            </w:r>
          </w:p>
        </w:tc>
      </w:tr>
      <w:tr>
        <w:trPr>
          <w:trHeight w:val="171"/>
        </w:trPr>
        <w:tc>
          <w:tcPr>
            <w:tcW w:w="674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Increases due to cash received and due, excluding amounts recognized</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7"/>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 revenues during the period</w:t>
            </w:r>
          </w:p>
        </w:tc>
        <w:tc>
          <w:tcPr>
            <w:tcW w:w="9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the remaining performance obligations were $187, representing the fixed components of the transaction price, expected to be recognized over the remaining term of the Company's revenue contracts.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asset retirement obligations activity for the years ended December 31, 2025, 2024 and 2023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incurred</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96"/>
        </w:trPr>
        <w:tc>
          <w:tcPr>
            <w:tcW w:w="6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Recorded as accrued and other liabilities</w:t>
            </w:r>
          </w:p>
        </w:tc>
        <w:tc>
          <w:tcPr>
            <w:tcW w:w="980" w:type="dxa"/>
            <w:vAlign w:val="bottom"/>
            <w:tcBorders>
              <w:top w:val="single" w:sz="8" w:color="auto"/>
              <w:bottom w:val="single" w:sz="8" w:color="auto"/>
            </w:tcBorders>
          </w:tcPr>
          <w:p>
            <w:pPr>
              <w:jc w:val="right"/>
              <w:ind w:right="7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 other liabilities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warranty liabilities activity for the years ended December 31, 2025, 2024 and 2023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9"/>
              </w:rPr>
              <w:t>58</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provisions</w:t>
            </w:r>
          </w:p>
        </w:tc>
        <w:tc>
          <w:tcPr>
            <w:tcW w:w="980" w:type="dxa"/>
            <w:vAlign w:val="bottom"/>
          </w:tcPr>
          <w:p>
            <w:pPr>
              <w:spacing w:after="0"/>
              <w:rPr>
                <w:sz w:val="19"/>
                <w:szCs w:val="19"/>
                <w:color w:val="auto"/>
              </w:rPr>
            </w:pPr>
          </w:p>
        </w:tc>
        <w:tc>
          <w:tcPr>
            <w:tcW w:w="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9"/>
              </w:rPr>
              <w:t>24</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claims paid</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(13)</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716"/>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716"/>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p>
      <w:pPr>
        <w:spacing w:after="0" w:line="87"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Accrued and other liabilities were $1,490 and $1,362 at December 31, 2025 and 2024, respectively. Accrued rebates and accrued operating lease liability, which are components of accrued and other liabilities, were $225 and $138 at December 31, 2025 and $232 and $128 at December 31, 2024, respectively. No other component of accrued and other liabilities was more than five percent of total current liabilities. Accrued liabilities with related parties were $31 and $26 at December 31, 2025 and 2024,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87"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 and accrued and other liabilities, were $128, $157, and $184 at December 31, 2025, 2024, and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Transaction and Integration-related Costs</w:t>
      </w:r>
    </w:p>
    <w:p>
      <w:pPr>
        <w:spacing w:after="0" w:line="10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2025, 2024 and 2023, the restructuring, transaction and integration-related costs were $640, $91 and $28, respectively. The costs in 2025 primarily consisted of North American chlorovinyls and Styrene plants closure costs of $386, Pernis plant closure costs of $232, and Huasu PVC unit closure costs of $9. The restructuring, transaction and integration-related costs in 2024 were primarily related to Pernis plant mothballing costs of $75. The restructuring, transaction and integration-related costs in 2023 were primarily related to plant closures resulting from the Company's manufacturing footprint optimization efforts.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Pernis Facility Closure</w:t>
      </w:r>
    </w:p>
    <w:p>
      <w:pPr>
        <w:spacing w:after="0" w:line="98"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In July 2024, the Company approved a plan to mothball the AC and ECH units at the Pernis facility and recognized charges of approximately $75 related to mothballing of the AC and ECH units in the third quarter of 2024. The Company continued to operate the liquid and solid epoxy resin ("LER/SER") and bisphenol A ("BPA") units at the Pernis facility through June 2025. In June 2025, due to the continued deterioration of the Company's commodity epoxy business in Europe, the Company revised the original mothballing plan and approved a plan to close and cease all the remaining operations at its Pernis facility including the LER/SER and BPA units. The Company ceased the BPA unit operations in June 2025 and ceased the LER/SER unit operations in October 2025.</w:t>
      </w:r>
    </w:p>
    <w:p>
      <w:pPr>
        <w:spacing w:after="0" w:line="103"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The total costs recognized during the twelve months ended December 31, 2025 of $247 consisted of charges for asset retirement obligations of $98, employee severance and separation costs of $23 and contract termination and other plant closure costs of $111 that are included in the restructuring, transaction and integration-related costs, and the write-down of inventory of $15 that is included in the cost of sales in the Company's consolidated statements of operations and Performance and Essential Materials segment operating results. The contract termination costs include liquidated damages, costs for services without future economic benefits, leases, and other costs associated with the plant shutdown. The Company expects to recognize additional charges related to other plant shutdown costs of $3 and severance and separation costs of $7 in future periods in connection with the closures. The Company expects to complete the closure plan in 2030. Asset retirement obligations and plant shutdown costs recorded represent management's best estimate based on information currently available and are subject to change as additional information becomes available.</w:t>
      </w:r>
    </w:p>
    <w:p>
      <w:pPr>
        <w:spacing w:after="0" w:line="138"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asset write-downs and the accrual activity related to the closure of the Pernis facility included in accrued and other liabilities, and other liabilities in the Company's consolidated balance sheets and the cumulative charges recognized: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Asset Write-offs</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Asset Retirement</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Contract Termination</w:t>
            </w:r>
          </w:p>
        </w:tc>
        <w:tc>
          <w:tcPr>
            <w:tcW w:w="340" w:type="dxa"/>
            <w:vAlign w:val="bottom"/>
          </w:tcPr>
          <w:p>
            <w:pPr>
              <w:spacing w:after="0"/>
              <w:rPr>
                <w:sz w:val="13"/>
                <w:szCs w:val="13"/>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Separation Costs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and Other Costs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charges and change in estimates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4"/>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4"/>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charges and change in estimates</w:t>
            </w:r>
          </w:p>
        </w:tc>
        <w:tc>
          <w:tcPr>
            <w:tcW w:w="160" w:type="dxa"/>
            <w:vAlign w:val="bottom"/>
          </w:tcPr>
          <w:p>
            <w:pPr>
              <w:spacing w:after="0"/>
              <w:rPr>
                <w:sz w:val="19"/>
                <w:szCs w:val="19"/>
                <w:color w:val="auto"/>
              </w:rPr>
            </w:pPr>
          </w:p>
        </w:tc>
        <w:tc>
          <w:tcPr>
            <w:tcW w:w="126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4"/>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write-downs</w:t>
            </w:r>
          </w:p>
        </w:tc>
        <w:tc>
          <w:tcPr>
            <w:tcW w:w="160" w:type="dxa"/>
            <w:vAlign w:val="bottom"/>
          </w:tcPr>
          <w:p>
            <w:pPr>
              <w:spacing w:after="0"/>
              <w:rPr>
                <w:sz w:val="19"/>
                <w:szCs w:val="19"/>
                <w:color w:val="auto"/>
              </w:rPr>
            </w:pPr>
          </w:p>
        </w:tc>
        <w:tc>
          <w:tcPr>
            <w:tcW w:w="126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7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Cumulative charges recognized as of December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1"/>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Chlorovinyls Facilities and Styrene Facility Closures</w:t>
      </w:r>
    </w:p>
    <w:p>
      <w:pPr>
        <w:spacing w:after="0" w:line="85"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In December 2025, the Company approved a plan to cease operation of certain of the Company's North American chlorovinyls production facilities, including (i) its polyvinyl chloride ("PVC") plant at the Aberdeen, Mississippi facility, which had an annual capacity of approximately 1 billion pounds of suspension PVC, (ii) its vinyl chloride monomer ("VCM") plant at the Lake Charles, Louisiana North facilities, which had an annual capacity of approximately 910 million pounds of VCM, and (iii) one of its diaphragm chlor-alkali units at the Lake Charles, Louisiana South facilities, which had an annual capacity of approximately 825 million pounds of chlorine and 910 million pounds of caustic soda, as well as (iv) Company's styrene production plant located at the Lake Charles, Louisiana facilities, which had an annual production capacity of approximately 570 million pounds of styrene. The total costs recognized by the Company and reflected in the consolidated statement of operations and Performance and Essential Materials segment operating results in 2025 as a result of these closures was $393, of which $386 was included in the restructuring, transaction and integration-related costs and $7 related to a write-down of inventory was included in the cost of sales in the consolidated statements of operations. The total cost included a non-cash charge of $317, representing accelerated depreciation, accelerated amortization and asset write-offs. The Company expects to recognize additional charges related to severance and separation costs of $4 and other plant shutdown costs of $21 in future periods in connection with these closures. The Company expects to complete the closure plan for such facilities in 2027. Asset retirement obligations and plant shutdown costs recorded represent management's best estimate based on information currently available and are subject to change as additional information becomes available.</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asset write-downs, accelerated depreciation and amortization, and the accrual activity related to the closure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Chlorovinyls and Styrene facilities included in accrued and other liabilities, and other liabilities in the Company's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Asset Retirement</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Severance and</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Plant Shutdown</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Write-offs</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Depreciation and</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71"/>
        </w:trPr>
        <w:tc>
          <w:tcPr>
            <w:tcW w:w="222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Property, plant and</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2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Inventory write-downs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1"/>
        </w:trPr>
        <w:tc>
          <w:tcPr>
            <w:tcW w:w="22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Balance at December 31,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1"/>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0" w:lineRule="exact"/>
        <w:rPr>
          <w:sz w:val="20"/>
          <w:szCs w:val="20"/>
          <w:color w:val="auto"/>
        </w:rPr>
      </w:pPr>
    </w:p>
    <w:p>
      <w:pPr>
        <w:jc w:val="both"/>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2025, other income, net included interest income, pension gain and income from unconsolidated subsidiaries of $100, $32 and $16, respectively. For the year ended December 31, 2024, other income, net included interest income, proceeds from a sale of land and income from unconsolidated subsidiaries of $153, $19 and $18, respectively. For the year ended December 31, 2023, other income, net included interest income, insurance recoveries and income from unconsolidated subsidiaries of $104, $28 and $19,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Supplemental Cash Flow</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cash flows from operating leases </w:t>
            </w:r>
            <w:r>
              <w:rPr>
                <w:rFonts w:ascii="Times New Roman" w:cs="Times New Roman" w:eastAsia="Times New Roman" w:hAnsi="Times New Roman"/>
                <w:sz w:val="22"/>
                <w:szCs w:val="22"/>
                <w:color w:val="auto"/>
                <w:vertAlign w:val="superscript"/>
              </w:rPr>
              <w:t>(1)</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5540" w:right="1460" w:hanging="5495"/>
        <w:spacing w:after="0" w:line="940" w:lineRule="auto"/>
        <w:tabs>
          <w:tab w:leader="none" w:pos="4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paid for amounts included in the measurement of operating lease liabilities recorded in the consolidated balance sheets.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-328295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net of interest capitalized</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and Affiliate Transactions</w:t>
      </w:r>
    </w:p>
    <w:p>
      <w:pPr>
        <w:spacing w:after="0" w:line="85"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Company and Lotte have a joint venture, LACC, to operate an ethylene facility with 2.2 billion pounds per year of ethylene production capacity. See Note 8 for details of the Company's transactions with LACC.</w:t>
      </w:r>
    </w:p>
    <w:p>
      <w:pPr>
        <w:spacing w:after="0" w:line="117"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Company leases two office spaces for management and administrative services from an affiliate of the Company's principal stockholder. For the year ended December 31, 2025, 2024 and 2023, the Company incurred lease payments of approximately $4, $4 and $3, respectively.</w:t>
      </w:r>
    </w:p>
    <w:p>
      <w:pPr>
        <w:spacing w:after="0" w:line="117"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Cypress Interstate Pipeline L.L.C., a natural gas liquids pipeline joint venture in which the Company owns a 50% equity interest, transports natural gas liquid feedstocks to the Company's Lake Charles complex through its pipeline. The Company accounts for its investments in Cypress Interstate Pipeline L.L.C. under the equity method of accounting. The investment in Cypress Interstate Pipeline L.L.C. at December 31, 2025 and 2024 was $10 and $8, respectively. For the years ended December 31, 2025, 2024 and 2023, the Company incurred pipeline lease service fees of approximately $20, $20 and $20, respectively, payable to this joint venture for usage of the pipeline. The amounts due to this joint venture were $2 and $1 at December 31, 2025 and 2024.</w:t>
      </w:r>
    </w:p>
    <w:p>
      <w:pPr>
        <w:spacing w:after="0" w:line="103" w:lineRule="exact"/>
        <w:rPr>
          <w:sz w:val="20"/>
          <w:szCs w:val="20"/>
          <w:color w:val="auto"/>
        </w:rPr>
      </w:pPr>
    </w:p>
    <w:p>
      <w:pPr>
        <w:ind w:right="180" w:firstLine="395"/>
        <w:spacing w:after="0" w:line="286" w:lineRule="auto"/>
        <w:rPr>
          <w:sz w:val="20"/>
          <w:szCs w:val="20"/>
          <w:color w:val="auto"/>
        </w:rPr>
      </w:pPr>
      <w:r>
        <w:rPr>
          <w:rFonts w:ascii="Times New Roman" w:cs="Times New Roman" w:eastAsia="Times New Roman" w:hAnsi="Times New Roman"/>
          <w:sz w:val="16"/>
          <w:szCs w:val="16"/>
          <w:color w:val="auto"/>
        </w:rPr>
        <w:t>The Company owns an approximately 20% equity interest in both YNCORIS GmbH &amp; Co. KG (formerly known as InfraServ Knapsack GmbH &amp; Co. KG) and InfraServ Gendorf GmbH &amp; Co. KG (collectively "Infraserv"). The Company accounts for its investments in Infraserv under the equity method of accounting. The Company has service agreements with these entities, including contracts to provide electricity, technical and leasing services to certain of the Company's production facilities in Germany. The investment in Infraserv was $56 and $52 at December 31, 2025 and 2024, respectively. For the years ended December 31, 2025, 2024 and 2023, the Company incurred charges aggregating approximately $160, $146 and $176, respectively, for these services. The amounts accrued for these related parties were approximately $26 and $23 at December 31, 2025 and 2024, respectively.</w:t>
      </w:r>
    </w:p>
    <w:p>
      <w:pPr>
        <w:spacing w:after="0" w:line="106"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In conjunction with the Westlake Epoxy acquisition, the Company acquired 49.99% equity interest in Westlake UV Coatings (Shanghai) Co., Ltd. (formerly known as Hexion UV Coatings Co., LTD). The investment in Westlake UV Coatings (Shanghai) Co., Ltd. was $4 and $4 at December 31, 2025 and 2024, respectively. The Company accounts for its investments in Westlake UV Coatings (Shanghai) Co., Ltd. under the equity method of accounting.</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Dividends received from equity method investments were $16, $20 and $18 for the years ended December 31, 2025, 2024 and 2023,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Westlake Chemical Partners LP</w:t>
      </w:r>
    </w:p>
    <w:p>
      <w:pPr>
        <w:spacing w:after="0" w:line="85"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In 2014, the Company formed Westlake Partners to operate, acquire and develop ethylene production facilities and related assets. Also in 2014, Westlake Partners completed its initial public offering of 12,937,500 common units. Most recently, on March 29, 2019, Westlake Partners purchased an additional 4.5% newly issued limited partner interests in OpCo and completed a private placement of 2,940,818 common units. TTWF LP, the Company's principal stockholder and a related party, acquired 1,401,869 units out of the 2,940,818 common units issued in the private placement. At December 31, 2025, Westlake Partners had a 22.8% limited partner interest in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13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On October 4, 2018, Westlake Partners and Westlake Partners GP,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for utilization under this agreement. No common units had been issued under this program as of December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Commitments and Contingencies</w:t>
      </w:r>
    </w:p>
    <w:p>
      <w:pPr>
        <w:spacing w:after="0" w:line="98" w:lineRule="exact"/>
        <w:rPr>
          <w:sz w:val="20"/>
          <w:szCs w:val="20"/>
          <w:color w:val="auto"/>
        </w:rPr>
      </w:pPr>
    </w:p>
    <w:p>
      <w:pPr>
        <w:ind w:right="100" w:firstLine="395"/>
        <w:spacing w:after="0" w:line="281" w:lineRule="auto"/>
        <w:rPr>
          <w:sz w:val="20"/>
          <w:szCs w:val="20"/>
          <w:color w:val="auto"/>
        </w:rPr>
      </w:pPr>
      <w:r>
        <w:rPr>
          <w:rFonts w:ascii="Times New Roman" w:cs="Times New Roman" w:eastAsia="Times New Roman" w:hAnsi="Times New Roman"/>
          <w:sz w:val="16"/>
          <w:szCs w:val="16"/>
          <w:color w:val="auto"/>
        </w:rPr>
        <w:t>The Company is involved in a number of legal and regulatory matters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the Company's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112"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Caustic Soda Antitrust</w:t>
      </w:r>
      <w:r>
        <w:rPr>
          <w:rFonts w:ascii="Times New Roman" w:cs="Times New Roman" w:eastAsia="Times New Roman" w:hAnsi="Times New Roman"/>
          <w:sz w:val="18"/>
          <w:szCs w:val="18"/>
          <w:color w:val="auto"/>
        </w:rPr>
        <w:t>. The Company and other caustic soda producers were named as defendants in multiple purported class action civil lawsuits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March 2019 in the U.S. District Court for the Western District of New York. The lawsuits allege the defendants conspired to fix, raise, maintain and stabilize the price of caustic soda, restrict domestic (U.S.) supply of caustic soda and allocate caustic soda customers, and were filed on behalf of certain named plaintiffs and a putative class comprised of either direct purchasers or indirect purchasers of caustic soda in the United States. The plaintiffs in the direct purchaser putative class and the indirect purchaser putative class sought $861 and $500, respectively, in single damages from the defendants, in addition to treble damages and attorney's fees in each case. The District Court has denied class certification for both the direct and indirect purchaser plaintiffs and the U.S. Court of Appeals for the Second Circuit denied the direct and indirect purchaser plaintiffs' petitions for leave to appeal. At this time, the Company is not able to estimate the impact that these lawsuits could have on the Company's consolidated financial statements. Beginning in October 2020, similar class action proceedings were filed in Canada on behalf of all residents of Canada who purchased caustic soda or products containing caustic soda from October 1, 2015 through the present or such date deemed appropriate by the court. The plaintiff and defendants have agreed to a combined settlement, of which the Company is responsible for paying approximately $0.35. The settlement remains subject to court approval, which is scheduled to proceed in the second quarter of 2026. The Company was also named as a defendant in a July 2023 claim now pending before the U.K. Competition Appeal Tribunal alleging that the Company and other producers sought to manipulate a third-party pricing index used in pricing sales of caustic soda, in violation of English and E.U. competition laws. The plaintiff alleges damages of approximately €80 million. At this time, the Company is not able to estimate the impact that this lawsuit could have on the Company's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3"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Ethylene Antitrust. </w:t>
      </w:r>
      <w:r>
        <w:rPr>
          <w:rFonts w:ascii="Times New Roman" w:cs="Times New Roman" w:eastAsia="Times New Roman" w:hAnsi="Times New Roman"/>
          <w:sz w:val="18"/>
          <w:szCs w:val="18"/>
          <w:color w:val="auto"/>
        </w:rPr>
        <w:t>The Company and other ethylene consumers were the subject of a decision issued by the European Commission (Decision AT.40410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Ethylene) on July 14, 2020 relating to the exchange of certain commercial and pricing-related information and in fixing a price element related to certain purchases of ethylene between December 2011 and March 2017 (the "European Commission Decision"). Following the decision, the Company and other ethylene consumers have been named as defendants in a series of fourteen similar lawsuits in the Netherlands and Germany by various producers and sellers of ethylene and ethylene derivatives, which generally allege that the defendants (i) conspired to lower the purchase price for ethylene and ethylene derivatives and thus (ii) caused a cartel-induced undercharge for certain ethylene and/or ethylene derivative sales to the defendants and other third parties during the period identified in the European Commission Decision and for 24 months thereafter. Certain of the lawsuits allege damages of approximately €8,738 million in the aggregate (plus statutory interest accruing from the relevant dates) while the other lawsuits seek declaratory judgments establishing that the defendants are jointly and severally liable for an unspecified amount of damages. At this time, the Company is not able to estimate the impact that these lawsuits could have on the Company's consolidated financial statements.</w:t>
      </w:r>
    </w:p>
    <w:p>
      <w:pPr>
        <w:spacing w:after="0" w:line="133" w:lineRule="exact"/>
        <w:rPr>
          <w:sz w:val="20"/>
          <w:szCs w:val="20"/>
          <w:color w:val="auto"/>
        </w:rPr>
      </w:pPr>
    </w:p>
    <w:p>
      <w:pPr>
        <w:ind w:right="100"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PVC Pipe Antitrust. </w:t>
      </w:r>
      <w:r>
        <w:rPr>
          <w:rFonts w:ascii="Times New Roman" w:cs="Times New Roman" w:eastAsia="Times New Roman" w:hAnsi="Times New Roman"/>
          <w:sz w:val="18"/>
          <w:szCs w:val="18"/>
          <w:color w:val="auto"/>
        </w:rPr>
        <w:t>The Company and other manufacturers of PVC pipe and fittings have been named as defendants in ten putative class action civil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filed in Illinois between August 2024 and June 2025 and in one lawsuit in British Columbia, Canada in September 2025 which generally allege that PVC pipe and fittings manufacturers conspired with each other and an industry publication (OPIS) to fix, raise, maintain and stabilize the prices of PVC pipe and fittings in the United States and Canada, resulting in the plaintiffs paying artificially high prices for PVC pipe and fittings. The plaintiffs in these cases assert violations of various U.S. federal and state competition and consumer protection laws and Canadian competition and common laws, and seek relief including injunctive relief, damages of undisclosed amounts, and equitable relief, plus attorneys' fees and costs. In October 2025, the U.S. Department of Justice intervened and was granted a partial stay of discovery in the U.S. litigation for six months due to its ongoing antitrust investigation of manufacturers of PVC pipe and others. A class certification hearing has not yet been scheduled in the British Columbia proceeding. At this time, the Company is not able to estimate the impact that these lawsuits could have on the Company's consolidated financial statements.</w:t>
      </w:r>
    </w:p>
    <w:p>
      <w:pPr>
        <w:spacing w:after="0" w:line="136" w:lineRule="exact"/>
        <w:rPr>
          <w:sz w:val="20"/>
          <w:szCs w:val="20"/>
          <w:color w:val="auto"/>
        </w:rPr>
      </w:pPr>
    </w:p>
    <w:p>
      <w:pPr>
        <w:ind w:right="480" w:firstLine="395"/>
        <w:spacing w:after="0" w:line="301" w:lineRule="auto"/>
        <w:rPr>
          <w:sz w:val="20"/>
          <w:szCs w:val="20"/>
          <w:color w:val="auto"/>
        </w:rPr>
      </w:pPr>
      <w:r>
        <w:rPr>
          <w:rFonts w:ascii="Times New Roman" w:cs="Times New Roman" w:eastAsia="Times New Roman" w:hAnsi="Times New Roman"/>
          <w:sz w:val="16"/>
          <w:szCs w:val="16"/>
          <w:i w:val="1"/>
          <w:iCs w:val="1"/>
          <w:color w:val="auto"/>
        </w:rPr>
        <w:t>Brazilian Contractual Indemnification Lawsuit</w:t>
      </w:r>
      <w:r>
        <w:rPr>
          <w:rFonts w:ascii="Times New Roman" w:cs="Times New Roman" w:eastAsia="Times New Roman" w:hAnsi="Times New Roman"/>
          <w:sz w:val="16"/>
          <w:szCs w:val="16"/>
          <w:color w:val="auto"/>
        </w:rPr>
        <w:t>. In July 2012, PPG Industries, Inc. ("PPG") entered into an agreement to separate various assets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liabilities of its commodity chemicals business, which were transferred to a subsidiary of Eagle Spinco, Inc., a wholly owned subsidiary of PPG ("Eagle</w:t>
      </w:r>
    </w:p>
    <w:p>
      <w:pPr>
        <w:spacing w:after="0" w:line="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6"/>
          <w:szCs w:val="16"/>
          <w:color w:val="auto"/>
        </w:rPr>
        <w:t>Spinco"). Eagle Spinco is currently a wholly owned indirect subsidiary of the Company. In May 2024, a trial court in Manaus, Brazil issued a decision awarding damages to Brazilian company Di Gregorio Navegacao, Ltda ("Di Gregorio") in a lawsuit filed by Di Gregorio against PPG relating to an explosion on November 9, 1998 that destroyed the M/V DG Harmony and her cargo, which included PPG-owned calcium hypochlorite (the "Di Gregorio Lawsuit"). The decision awarded damages to Di Gregorio in the approximate amount of R$550 million (Brazilian real), plus a monetary adjustment and interest accruing from</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April 3, 2006, as well as 20% for legal fees. PPG appealed the trial court's decision and the Amazonas Court of Appeals issued a decision affirming in part the trial court's decision. In November 2025, PPG filed a subsequent special appeal to Brazil's Superior Court of Justice, which is pending. In June 2024, PPG filed a lawsuit against the Company in Delaware Chancery Court asserting that the Company is responsible for any judgment in the Di Gregorio Lawsuit. The Company has asserted counterclaims against PPG seeking a declaration that the Di Gregorio Lawsuit is indemnifiable and that if PPG seeks reimbursement for any losses related to the Di Gregorio Lawsuit, it must assign to Eagle Spinco its rights to relevant insurance proceeds. At this time, the Company is not able to estimate the impact that the Delaware lawsuit and Eagle Spinco's contractual obligations related to the lawsuit could have on the Company's consolidated financial statements.</w:t>
      </w:r>
    </w:p>
    <w:p>
      <w:pPr>
        <w:spacing w:after="0" w:line="132"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Calvert City Proceedings. </w:t>
      </w:r>
      <w:r>
        <w:rPr>
          <w:rFonts w:ascii="Times New Roman" w:cs="Times New Roman" w:eastAsia="Times New Roman" w:hAnsi="Times New Roman"/>
          <w:sz w:val="18"/>
          <w:szCs w:val="18"/>
          <w:color w:val="auto"/>
        </w:rPr>
        <w:t>As the current owner of the Calvert City, Kentucky facility, the Company was named as a potentially responsible party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Comprehensive Environmental Response, Compensation, and Liability Act of 1980 along with Goodrich Corporation ("Goodrich") and its successor-in-interest, Avient Corporation ("Avient"). The allocation of liability for investigation and remediation costs at the Calvert City site is governed by a series of agreements between the Company, Goodrich and Avient. In March 2022, the Company filed a demand for arbitration seeking reimbursement for certain allocable costs incurred and which Avient has failed to pay or disputed under these agreements, and in November 2025, the Company and Avient agreed to expand the scope of the pending arbitration to include allocable costs incurred during the period between May 2017 and October 2025. Avient claims that the Company is liable for up to $39 of allocable costs from that period. At this time, the Company is not able to estimate the impact that these proceedings could have on the Company's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3"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Sulphur Mines Dome. </w:t>
      </w:r>
      <w:r>
        <w:rPr>
          <w:rFonts w:ascii="Times New Roman" w:cs="Times New Roman" w:eastAsia="Times New Roman" w:hAnsi="Times New Roman"/>
          <w:sz w:val="17"/>
          <w:szCs w:val="17"/>
          <w:color w:val="auto"/>
        </w:rPr>
        <w:t>The Louisiana Department of Conservation and Energy ("LDCE", formerly known as Louisiana Department of Energy and Natural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Resources) issued Compliance Order No. IMD 2022-027 and several supplements to that order, the latest in October 2023, in response to pressure anomaly events in two of the Company's salt solution-mining caverns at the Sulphur Mines Dome in Sulphur, Louisiana, which required the Company to undertake various activities related to response planning, monitoring, investigation and mitigation. Following another pressure event in June 2024, LDCE ordered the Company to take additional measures at the brine caverns, including the construction of a dome-wide containment structure. As of December 31, 2025, the Company had accrued an estimated liability of approximately $26 in connection with monitoring wells and other remedial activities, and additional compliance costs will continue to be incurred. At this time, the Company is unable to estimate the impact, if any, that other ongoing expenditures or future injunctive relief ordered by the government could have on the Company's consolidated financial statements. In November 2024, Yellow Rock LLC ("Yellow Rock") filed an amended petition in the 14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Judicial District Court of Calcasieu Parish, Louisiana alleging that the Company improperly withdrew and sold oil belonging to Yellow Rock and asserting claims of negligence and breach of duties by the Company in connection with the operation and maintenance of caverns at the Sulphur Mines Dome, alleging damages in excess of $100. In June 2025, Yellow Rock filed an additional petition in the 14th Judicial District Court of Calcasieu Parish, Louisiana alleging that the Company improperly extracted salt and brine belonging to Yellow Rock. At this time, the Company is not able to estimate the impact that these lawsuits could have on the Company's consolidated financial statements.</w:t>
      </w:r>
    </w:p>
    <w:p>
      <w:pPr>
        <w:spacing w:after="0" w:line="12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Environmental Contingencies and Reasonably Possible Matters. </w:t>
      </w:r>
      <w:r>
        <w:rPr>
          <w:rFonts w:ascii="Times New Roman" w:cs="Times New Roman" w:eastAsia="Times New Roman" w:hAnsi="Times New Roman"/>
          <w:sz w:val="18"/>
          <w:szCs w:val="18"/>
          <w:color w:val="auto"/>
        </w:rPr>
        <w:t>As of December 31, 2025 and December 31, 2024, the Company had accrued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liability for environmental contingencies totaling approximately $69 and $72, respectively, most of which was classified as noncurrent liabilities. The Company's assessment of the potential impact of these environmental contingencies is subject to considerable uncertainty due to the complex, ongoing and evolving process of investigation and, if necessary, remediation, of such environmental contingencies, and the potential for technological and regulatory developments. As such, in addition to the amounts currently reserved for contingencies that are probable and reasonably estimable as discussed above, the Company may be subject to reasonably possible loss contingencies related to environmental matters in the range of $100 to $170.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87" w:lineRule="exact"/>
        <w:rPr>
          <w:sz w:val="20"/>
          <w:szCs w:val="20"/>
          <w:color w:val="auto"/>
        </w:rPr>
      </w:pPr>
    </w:p>
    <w:p>
      <w:pPr>
        <w:jc w:val="both"/>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Company has various unconditional purchase obligations, primarily to purchase goods and services, including commitments to purchase various utilities, feedstock, nitrogen, oxygen, product storage and pipeline usage. At December 31, 2025, unrecorded unconditional total purchase obligations were $4,468, which included approximately $1,134 in 2026, $1,067 in 2027, $675 in 2028, $314 in 2029, $274 in 2030, and $1,004 thereafter.</w:t>
      </w:r>
    </w:p>
    <w:p>
      <w:pPr>
        <w:spacing w:after="0" w:line="183" w:lineRule="exact"/>
        <w:rPr>
          <w:sz w:val="20"/>
          <w:szCs w:val="20"/>
          <w:color w:val="auto"/>
        </w:rPr>
      </w:pPr>
    </w:p>
    <w:p>
      <w:pPr>
        <w:ind w:right="8120" w:firstLine="5"/>
        <w:spacing w:after="0" w:line="344" w:lineRule="auto"/>
        <w:tabs>
          <w:tab w:leader="none" w:pos="26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 Information </w:t>
      </w:r>
      <w:r>
        <w:rPr>
          <w:rFonts w:ascii="Times New Roman" w:cs="Times New Roman" w:eastAsia="Times New Roman" w:hAnsi="Times New Roman"/>
          <w:sz w:val="18"/>
          <w:szCs w:val="18"/>
          <w:b w:val="1"/>
          <w:bCs w:val="1"/>
          <w:i w:val="1"/>
          <w:iCs w:val="1"/>
          <w:color w:val="auto"/>
        </w:rPr>
        <w:t>Segment Information</w:t>
      </w:r>
    </w:p>
    <w:p>
      <w:pPr>
        <w:spacing w:after="0" w:line="1"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The Company has two principal operating segments, which are the Company's reportable segments, Housing and Infrastructure Products and Performance and Essential Materials. These segments are strategic business units that each offer a variety of different materials and products. The Company manages each segment separately as each business requires different technology and marketing strategies. The operating results of each segment are reviewed by the Company's Chief Executive Officer, the chief operating decision maker ("CODM"). The CODM evaluates segment performance based on income from operations. The CODM reviews each segment's actual and forecasted income from operations to allocate resources and assess performance.</w:t>
      </w:r>
    </w:p>
    <w:p>
      <w:pPr>
        <w:spacing w:after="0" w:line="103"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The Housing and Infrastructure Products segment manufactures and markets products including residential siding, trim and mouldings, stone, roofing, windows, outdoor living products, PVC pipe and fittings and compounds made from PVC and other polymers. As of December 31, 2025, the Company owned or leased 64 manufacturing facilities in North America, Europe and Asia. The Company's North American PVC facilities within the Performance and Essential Materials segment supply most of the PVC required for the building products and pipe and fittings plants. The raw materials for stone, roofing and accessories, windows, shutters and specialty tool products are externally purchased. PVC required for the compounds plants is either internally sourced from Company's North American or Asian facilities or externally purchased at market prices based on the location of the plants.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25"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Company's Performance and Essential Materials segment manufactures and markets polyethylene, ethylene co-products, PVC, VCM, ethylene dichloride ("EDC"), chlor-alkali (chlorine and caustic soda), chlorinated derivative products and epoxy resins. The Company's ethylene production is used in the Company's polyethylene and VCM operations. In addition, the Company sells ethylene and ethylene co-products, primarily propylene, crude butadiene, pyrolysis gasoline and hydrogen, to external customers. The Company's primary North American manufacturing facilities are located in its Calvert City, Kentucky; Lake Charles, Plaquemine and Geismar, Louisiana; Longview and Deer Park, Texas; Lakeland, Florida and Argo, Illinois sites. The Company's primary European facility is located in Germany. The Company produces ethylene and polyethylene at its facilities in Lake Charles, Louisiana; Calvert City, Kentucky and Longview, Texas. The Company produces chlorine, caustic soda, VCM, EDC, PVC, hydrogen and chlorinated derivative materials at its facilities in Lake Charles, Plaquemine and Geismar, Louisiana; Calvert City, Kentucky; Natrium, West Virginia; Longview, Washington; Beauharnois, Quebec and in Germany. Epoxy resins primarily comprise of Epoxy Specialty Resins and Base Epoxy Resins and Intermediaries. Epoxy Specialty Resins are produced at manufacturing facilities in Duisburg and Esslingen in Germany; Argo and Lakeland in the United States; one plant in Spain and one plant in South Korea. Base Epoxy Resins and Intermediaries are produced at Company's plant in Deer Park, United States. In addition, the Company also has other manufacturing facilities and product development facilities in North America, Europe and Asia. Certain production facilities under the Performance and Essential Materials segment ceased operations in 2025. See Note 18 for more detailed information.</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single customer accounted for 10% or more of net sales for the years ended December 31, 2025, 2024 or 2023.</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Note 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1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1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r>
      <w:tr>
        <w:trPr>
          <w:trHeight w:val="191"/>
        </w:trPr>
        <w:tc>
          <w:tcPr>
            <w:tcW w:w="672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Total reportable segments and consolidated</w:t>
            </w:r>
          </w:p>
        </w:tc>
        <w:tc>
          <w:tcPr>
            <w:tcW w:w="880" w:type="dxa"/>
            <w:vAlign w:val="bottom"/>
            <w:tcBorders>
              <w:bottom w:val="single" w:sz="8" w:color="auto"/>
            </w:tcBorders>
          </w:tcPr>
          <w:p>
            <w:pPr>
              <w:jc w:val="right"/>
              <w:ind w:right="674"/>
              <w:spacing w:after="0" w:line="19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96"/>
              </w:rPr>
              <w:t>11,170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12,142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12,548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sales</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6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1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sales</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goodwill and long-lived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7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6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6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total reportable segments income (loss) from operations to consolidated income (loss) before income taxes is as follows: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 income (loss) from operations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loss from operations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Performance and Essential Materials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Net sales to external customers </w:t>
            </w:r>
            <w:r>
              <w:rPr>
                <w:rFonts w:ascii="Times New Roman" w:cs="Times New Roman" w:eastAsia="Times New Roman" w:hAnsi="Times New Roman"/>
                <w:sz w:val="22"/>
                <w:szCs w:val="22"/>
                <w:b w:val="1"/>
                <w:bCs w:val="1"/>
                <w:color w:val="auto"/>
                <w:vertAlign w:val="superscript"/>
              </w:rPr>
              <w:t>(2)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Italy</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7"/>
        </w:trPr>
        <w:tc>
          <w:tcPr>
            <w:tcW w:w="672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7"/>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400" w:hanging="395"/>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method investments of $1,062 and $1,081 as of December 31, 2025 and 2024, respectively.</w:t>
      </w:r>
    </w:p>
    <w:p>
      <w:pPr>
        <w:spacing w:after="0" w:line="56"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are attributed to countries based on location of customer.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w:t>
      </w:r>
    </w:p>
    <w:p>
      <w:pPr>
        <w:spacing w:after="0" w:line="8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On January 5, 2026, Westlake acquired the global compounding solutions businesses of the ACI/Perplastic Group (collectively, "ACI") for a preliminary purchase price of approximately €92.4 million, subject to certain adjustments. ACI is a Portugal-based global manufacturer of specialty materials serving the wire and cable sectors with manufacturing locations in Portugal, Mexico, Tunisia and Romania. The purchase price accounting for ACI is incomplete as of the date of filing due to the limited time since the closing date.</w:t>
      </w: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87" w:lineRule="exact"/>
        <w:rPr>
          <w:sz w:val="20"/>
          <w:szCs w:val="20"/>
          <w:color w:val="auto"/>
        </w:rPr>
      </w:pPr>
    </w:p>
    <w:p>
      <w:pPr>
        <w:ind w:firstLine="395"/>
        <w:spacing w:after="0" w:line="284" w:lineRule="auto"/>
        <w:rPr>
          <w:sz w:val="20"/>
          <w:szCs w:val="20"/>
          <w:color w:val="auto"/>
        </w:rPr>
      </w:pPr>
      <w:r>
        <w:rPr>
          <w:rFonts w:ascii="Times New Roman" w:cs="Times New Roman" w:eastAsia="Times New Roman" w:hAnsi="Times New Roman"/>
          <w:sz w:val="16"/>
          <w:szCs w:val="16"/>
          <w:color w:val="auto"/>
        </w:rPr>
        <w:t>We carried out an evaluation, under the supervision and with the participation of our management, including our President and Chief Executive Officer (our principal executive officer) and our Executive Vice President and Chief Financial Officer (our principal financial officer), of the effectiveness of our disclosure controls and procedures pursuant to Rules 13a-15 and 15d-15 under the Securities Exchange Act of 1934 as of the end of the period covered by this Form 10-K. Based upon that evaluation, our President and Chief Executive Officer and our Executive Vice President and Chief Financial Officer concluded that our disclosure controls and procedures are effective as of December 31, 2025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Westlake's management's report on internal control over financial reporting appears in Part II, Item 8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2025, as stated in their report that appears in Part II, Item 8 of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0"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2025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83" w:lineRule="exact"/>
        <w:rPr>
          <w:sz w:val="20"/>
          <w:szCs w:val="20"/>
          <w:color w:val="auto"/>
        </w:rPr>
      </w:pPr>
    </w:p>
    <w:p>
      <w:pPr>
        <w:ind w:right="1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Rule 10b5-1 Trading Arrangements</w:t>
      </w:r>
      <w:r>
        <w:rPr>
          <w:rFonts w:ascii="Times New Roman" w:cs="Times New Roman" w:eastAsia="Times New Roman" w:hAnsi="Times New Roman"/>
          <w:sz w:val="18"/>
          <w:szCs w:val="18"/>
          <w:color w:val="auto"/>
        </w:rPr>
        <w:t>. During the three months ended December 31, 2025, no director or officer of the Company adopted or terminated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10b5-1 trading arrangement" or "non-Rule 10b5-1 trading arrangement," as each term is defined in Item 408 of Regulation 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400" w:lineRule="exact"/>
        <w:rPr>
          <w:sz w:val="20"/>
          <w:szCs w:val="20"/>
          <w:color w:val="auto"/>
        </w:rPr>
      </w:pPr>
    </w:p>
    <w:p>
      <w:pPr>
        <w:ind w:right="180" w:firstLine="395"/>
        <w:spacing w:after="0" w:line="332" w:lineRule="auto"/>
        <w:rPr>
          <w:sz w:val="20"/>
          <w:szCs w:val="20"/>
          <w:color w:val="auto"/>
        </w:rPr>
      </w:pPr>
      <w:r>
        <w:rPr>
          <w:rFonts w:ascii="Times New Roman" w:cs="Times New Roman" w:eastAsia="Times New Roman" w:hAnsi="Times New Roman"/>
          <w:sz w:val="16"/>
          <w:szCs w:val="16"/>
          <w:color w:val="auto"/>
        </w:rPr>
        <w:t>Except as noted below, the information required by Items 10, 11, 12, 13 and 14 is incorporated by reference to the Proxy Statement for the 2026 Annual Meeting of Stockholders, which will be filed with the SEC pursuant to Regulation 14A under the Exchange Act within 120 days of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Item 401(b) of Regulation S-K with respect to our executive officers is set forth in Part I of this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vMerge w:val="restart"/>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220" w:type="dxa"/>
            <w:vAlign w:val="bottom"/>
          </w:tcPr>
          <w:p>
            <w:pPr>
              <w:spacing w:after="0"/>
              <w:rPr>
                <w:sz w:val="12"/>
                <w:szCs w:val="12"/>
                <w:color w:val="auto"/>
              </w:rPr>
            </w:pPr>
          </w:p>
        </w:tc>
        <w:tc>
          <w:tcPr>
            <w:tcW w:w="154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4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for future issuance under</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2"/>
          </w:tcPr>
          <w:p>
            <w:pPr>
              <w:jc w:val="center"/>
              <w:ind w:right="323"/>
              <w:spacing w:after="0" w:line="133"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20" w:type="dxa"/>
            <w:vAlign w:val="bottom"/>
          </w:tcPr>
          <w:p>
            <w:pPr>
              <w:spacing w:after="0"/>
              <w:rPr>
                <w:sz w:val="11"/>
                <w:szCs w:val="11"/>
                <w:color w:val="auto"/>
              </w:rPr>
            </w:pPr>
          </w:p>
        </w:tc>
        <w:tc>
          <w:tcPr>
            <w:tcW w:w="1540" w:type="dxa"/>
            <w:vAlign w:val="bottom"/>
          </w:tcPr>
          <w:p>
            <w:pPr>
              <w:jc w:val="center"/>
              <w:ind w:right="144"/>
              <w:spacing w:after="0" w:line="133"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34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283"/>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exercise of outstanding</w:t>
            </w:r>
          </w:p>
        </w:tc>
        <w:tc>
          <w:tcPr>
            <w:tcW w:w="220" w:type="dxa"/>
            <w:vAlign w:val="bottom"/>
          </w:tcPr>
          <w:p>
            <w:pPr>
              <w:spacing w:after="0"/>
              <w:rPr>
                <w:sz w:val="12"/>
                <w:szCs w:val="12"/>
                <w:color w:val="auto"/>
              </w:rPr>
            </w:pPr>
          </w:p>
        </w:tc>
        <w:tc>
          <w:tcPr>
            <w:tcW w:w="1540" w:type="dxa"/>
            <w:vAlign w:val="bottom"/>
          </w:tcPr>
          <w:p>
            <w:pPr>
              <w:jc w:val="center"/>
              <w:ind w:right="144"/>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540" w:type="dxa"/>
            <w:vAlign w:val="bottom"/>
          </w:tcPr>
          <w:p>
            <w:pPr>
              <w:jc w:val="center"/>
              <w:ind w:right="164"/>
              <w:spacing w:after="0" w:line="143"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40" w:type="dxa"/>
            <w:vAlign w:val="bottom"/>
          </w:tcPr>
          <w:p>
            <w:pPr>
              <w:spacing w:after="0"/>
              <w:rPr>
                <w:sz w:val="12"/>
                <w:szCs w:val="12"/>
                <w:color w:val="auto"/>
              </w:rPr>
            </w:pP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3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00" w:type="dxa"/>
            <w:vAlign w:val="bottom"/>
            <w:gridSpan w:val="2"/>
          </w:tcPr>
          <w:p>
            <w:pPr>
              <w:jc w:val="center"/>
              <w:ind w:right="303"/>
              <w:spacing w:after="0" w:line="133" w:lineRule="exact"/>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220" w:type="dxa"/>
            <w:vAlign w:val="bottom"/>
          </w:tcPr>
          <w:p>
            <w:pPr>
              <w:spacing w:after="0"/>
              <w:rPr>
                <w:sz w:val="11"/>
                <w:szCs w:val="11"/>
                <w:color w:val="auto"/>
              </w:rPr>
            </w:pPr>
          </w:p>
        </w:tc>
        <w:tc>
          <w:tcPr>
            <w:tcW w:w="1540" w:type="dxa"/>
            <w:vAlign w:val="bottom"/>
          </w:tcPr>
          <w:p>
            <w:pPr>
              <w:jc w:val="center"/>
              <w:ind w:right="144"/>
              <w:spacing w:after="0" w:line="133" w:lineRule="exact"/>
              <w:rPr>
                <w:sz w:val="20"/>
                <w:szCs w:val="20"/>
                <w:color w:val="auto"/>
              </w:rPr>
            </w:pPr>
            <w:r>
              <w:rPr>
                <w:rFonts w:ascii="Times New Roman" w:cs="Times New Roman" w:eastAsia="Times New Roman" w:hAnsi="Times New Roman"/>
                <w:sz w:val="14"/>
                <w:szCs w:val="14"/>
                <w:b w:val="1"/>
                <w:bCs w:val="1"/>
                <w:color w:val="auto"/>
                <w:w w:val="98"/>
              </w:rPr>
              <w:t>and rights</w:t>
            </w:r>
          </w:p>
        </w:tc>
        <w:tc>
          <w:tcPr>
            <w:tcW w:w="34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(a))</w:t>
            </w:r>
          </w:p>
        </w:tc>
        <w:tc>
          <w:tcPr>
            <w:tcW w:w="0" w:type="dxa"/>
            <w:vAlign w:val="bottom"/>
          </w:tcPr>
          <w:p>
            <w:pPr>
              <w:spacing w:after="0"/>
              <w:rPr>
                <w:sz w:val="1"/>
                <w:szCs w:val="1"/>
                <w:color w:val="auto"/>
              </w:rPr>
            </w:pPr>
          </w:p>
        </w:tc>
      </w:tr>
      <w:tr>
        <w:trPr>
          <w:trHeight w:val="185"/>
        </w:trPr>
        <w:tc>
          <w:tcPr>
            <w:tcW w:w="5280" w:type="dxa"/>
            <w:vAlign w:val="bottom"/>
            <w:gridSpan w:val="2"/>
            <w:vMerge w:val="continue"/>
          </w:tcPr>
          <w:p>
            <w:pPr>
              <w:spacing w:after="0"/>
              <w:rPr>
                <w:sz w:val="16"/>
                <w:szCs w:val="16"/>
                <w:color w:val="auto"/>
              </w:rPr>
            </w:pPr>
          </w:p>
        </w:tc>
        <w:tc>
          <w:tcPr>
            <w:tcW w:w="210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6"/>
                <w:szCs w:val="16"/>
                <w:color w:val="auto"/>
              </w:rPr>
            </w:pPr>
          </w:p>
        </w:tc>
        <w:tc>
          <w:tcPr>
            <w:tcW w:w="15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34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
        </w:trPr>
        <w:tc>
          <w:tcPr>
            <w:tcW w:w="5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2,014,813</w:t>
            </w:r>
          </w:p>
        </w:tc>
        <w:tc>
          <w:tcPr>
            <w:tcW w:w="3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101.91</w:t>
            </w:r>
          </w:p>
        </w:tc>
        <w:tc>
          <w:tcPr>
            <w:tcW w:w="3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93"/>
              </w:rPr>
              <w:t>(2)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3,396,853</w:t>
            </w:r>
          </w:p>
        </w:tc>
        <w:tc>
          <w:tcPr>
            <w:tcW w:w="0" w:type="dxa"/>
            <w:vAlign w:val="bottom"/>
          </w:tcPr>
          <w:p>
            <w:pPr>
              <w:spacing w:after="0"/>
              <w:rPr>
                <w:sz w:val="1"/>
                <w:szCs w:val="1"/>
                <w:color w:val="auto"/>
              </w:rPr>
            </w:pPr>
          </w:p>
        </w:tc>
      </w:tr>
      <w:tr>
        <w:trPr>
          <w:trHeight w:val="22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00" w:type="dxa"/>
            <w:vAlign w:val="bottom"/>
            <w:gridSpan w:val="2"/>
          </w:tcPr>
          <w:p>
            <w:pPr>
              <w:jc w:val="right"/>
              <w:ind w:right="303"/>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2"/>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2,014,813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101.91</w:t>
            </w:r>
          </w:p>
        </w:tc>
        <w:tc>
          <w:tcPr>
            <w:tcW w:w="340" w:type="dxa"/>
            <w:vAlign w:val="bottom"/>
            <w:tcBorders>
              <w:top w:val="single" w:sz="8" w:color="CCEEFF"/>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93"/>
              </w:rPr>
              <w:t>(2)</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3,396,853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400" w:hanging="395"/>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reserved for issuance pursuant to restricted stock units, stock options and performance stock units.</w:t>
      </w:r>
    </w:p>
    <w:p>
      <w:pPr>
        <w:spacing w:after="0" w:line="56"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applies only to the stock options included in column (a). Exercise price is not applicable to the other awards included in column (a).</w:t>
      </w:r>
    </w:p>
    <w:p>
      <w:pPr>
        <w:spacing w:after="0" w:line="16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Other information regarding our equity compensation plans is set forth in the section entitled "Executive Compensation" in our Proxy Statement, which information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10500" w:type="dxa"/>
            <w:vAlign w:val="bottom"/>
            <w:gridSpan w:val="31"/>
          </w:tcPr>
          <w:p>
            <w:pPr>
              <w:ind w:left="80"/>
              <w:spacing w:after="0"/>
              <w:rPr>
                <w:sz w:val="20"/>
                <w:szCs w:val="20"/>
                <w:color w:val="auto"/>
              </w:rPr>
            </w:pPr>
            <w:r>
              <w:rPr>
                <w:rFonts w:ascii="Times New Roman" w:cs="Times New Roman" w:eastAsia="Times New Roman" w:hAnsi="Times New Roman"/>
                <w:sz w:val="18"/>
                <w:szCs w:val="18"/>
                <w:color w:val="auto"/>
                <w:w w:val="99"/>
              </w:rPr>
              <w:t>The financial statements listed in the Index to Consolidated Financial Statements in Item 8 of this Form 10-K are filed as part of this Form 10-K.</w:t>
            </w:r>
          </w:p>
        </w:tc>
        <w:tc>
          <w:tcPr>
            <w:tcW w:w="0" w:type="dxa"/>
            <w:vAlign w:val="bottom"/>
          </w:tcPr>
          <w:p>
            <w:pPr>
              <w:spacing w:after="0"/>
              <w:rPr>
                <w:sz w:val="1"/>
                <w:szCs w:val="1"/>
                <w:color w:val="auto"/>
              </w:rPr>
            </w:pPr>
          </w:p>
        </w:tc>
      </w:tr>
      <w:tr>
        <w:trPr>
          <w:trHeight w:val="27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0500" w:type="dxa"/>
            <w:vAlign w:val="bottom"/>
            <w:gridSpan w:val="31"/>
            <w:vMerge w:val="restart"/>
          </w:tcPr>
          <w:p>
            <w:pPr>
              <w:ind w:left="80"/>
              <w:spacing w:after="0"/>
              <w:rPr>
                <w:sz w:val="20"/>
                <w:szCs w:val="20"/>
                <w:color w:val="auto"/>
              </w:rPr>
            </w:pPr>
            <w:r>
              <w:rPr>
                <w:rFonts w:ascii="Times New Roman" w:cs="Times New Roman" w:eastAsia="Times New Roman" w:hAnsi="Times New Roman"/>
                <w:sz w:val="18"/>
                <w:szCs w:val="18"/>
                <w:color w:val="auto"/>
                <w:w w:val="97"/>
              </w:rPr>
              <w:t>All schedules are omitted because the information is not applicable, not required, or has been furnished in the Consolidated Financial Statements or</w:t>
            </w: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10500" w:type="dxa"/>
            <w:vAlign w:val="bottom"/>
            <w:gridSpan w:val="3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10500" w:type="dxa"/>
            <w:vAlign w:val="bottom"/>
            <w:gridSpan w:val="31"/>
          </w:tcPr>
          <w:p>
            <w:pPr>
              <w:ind w:left="80"/>
              <w:spacing w:after="0"/>
              <w:rPr>
                <w:sz w:val="20"/>
                <w:szCs w:val="20"/>
                <w:color w:val="auto"/>
              </w:rPr>
            </w:pPr>
            <w:r>
              <w:rPr>
                <w:rFonts w:ascii="Times New Roman" w:cs="Times New Roman" w:eastAsia="Times New Roman" w:hAnsi="Times New Roman"/>
                <w:sz w:val="18"/>
                <w:szCs w:val="18"/>
                <w:color w:val="auto"/>
              </w:rPr>
              <w:t>Notes thereto in Item 8 of this Form 10-K.</w:t>
            </w:r>
          </w:p>
        </w:tc>
        <w:tc>
          <w:tcPr>
            <w:tcW w:w="0" w:type="dxa"/>
            <w:vAlign w:val="bottom"/>
          </w:tcPr>
          <w:p>
            <w:pPr>
              <w:spacing w:after="0"/>
              <w:rPr>
                <w:sz w:val="1"/>
                <w:szCs w:val="1"/>
                <w:color w:val="auto"/>
              </w:rPr>
            </w:pPr>
          </w:p>
        </w:tc>
      </w:tr>
      <w:tr>
        <w:trPr>
          <w:trHeight w:val="27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10500" w:type="dxa"/>
            <w:vAlign w:val="bottom"/>
            <w:gridSpan w:val="31"/>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264"/>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300" w:type="dxa"/>
            <w:vAlign w:val="bottom"/>
            <w:gridSpan w:val="24"/>
          </w:tcPr>
          <w:p>
            <w:pPr>
              <w:ind w:left="9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Restated Certificate of Incorporation of Westlake as filed with the Delaware Secretary of State on February 20, 2024 2024 (incorporated by</w:t>
              </w:r>
            </w:hyperlink>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0" w:type="dxa"/>
            <w:vAlign w:val="bottom"/>
            <w:tcBorders>
              <w:top w:val="single" w:sz="8" w:color="0000FF"/>
            </w:tcBorders>
            <w:gridSpan w:val="25"/>
          </w:tcPr>
          <w:p>
            <w:pPr>
              <w:spacing w:after="0" w:line="17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reference to Westlake's Annual Report on Form 10-K for the year ended December 31, 2023, filed on February 22, 2024, File No. 001-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0" w:type="dxa"/>
            <w:vAlign w:val="bottom"/>
          </w:tcPr>
          <w:p>
            <w:pPr>
              <w:spacing w:after="0"/>
              <w:rPr>
                <w:sz w:val="16"/>
                <w:szCs w:val="16"/>
                <w:color w:val="auto"/>
              </w:rPr>
            </w:pPr>
          </w:p>
        </w:tc>
        <w:tc>
          <w:tcPr>
            <w:tcW w:w="1140" w:type="dxa"/>
            <w:vAlign w:val="bottom"/>
            <w:gridSpan w:val="2"/>
          </w:tcPr>
          <w:p>
            <w:pPr>
              <w:ind w:left="600"/>
              <w:spacing w:after="0" w:line="190" w:lineRule="exact"/>
              <w:rPr>
                <w:rFonts w:ascii="Times New Roman" w:cs="Times New Roman" w:eastAsia="Times New Roman" w:hAnsi="Times New Roman"/>
                <w:sz w:val="18"/>
                <w:szCs w:val="18"/>
                <w:color w:val="0000FF"/>
                <w:w w:val="93"/>
              </w:rPr>
            </w:pPr>
            <w:hyperlink r:id="rId136">
              <w:r>
                <w:rPr>
                  <w:rFonts w:ascii="Times New Roman" w:cs="Times New Roman" w:eastAsia="Times New Roman" w:hAnsi="Times New Roman"/>
                  <w:sz w:val="18"/>
                  <w:szCs w:val="18"/>
                  <w:color w:val="0000FF"/>
                  <w:w w:val="93"/>
                </w:rPr>
                <w:t>32260).</w:t>
              </w:r>
            </w:hyperlink>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Second Amended and Restated Bylaws of Westlake (incorporated by reference to Westlake's Current Report on Form 8-K, filed on February</w:t>
              </w:r>
            </w:hyperlink>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60" w:type="dxa"/>
            <w:vAlign w:val="bottom"/>
            <w:tcBorders>
              <w:top w:val="single" w:sz="8" w:color="0000FF"/>
            </w:tcBorders>
            <w:gridSpan w:val="28"/>
          </w:tcPr>
          <w:p>
            <w:pPr>
              <w:spacing w:after="0" w:line="177"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18, 2022, File No. 001-32260).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24"/>
                <w:szCs w:val="24"/>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Description of Securities Registered Pursuant to Section 12 of the Securities Exchange Act of 1934 (incorporated by reference to Westlake</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FF"/>
                  <w:w w:val="97"/>
                </w:rPr>
                <w:t>s</w:t>
              </w:r>
            </w:hyperlink>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360" w:type="dxa"/>
            <w:vAlign w:val="bottom"/>
            <w:tcBorders>
              <w:top w:val="single" w:sz="8" w:color="0000FF"/>
              <w:bottom w:val="single" w:sz="8" w:color="0000FF"/>
            </w:tcBorders>
            <w:gridSpan w:val="11"/>
          </w:tcPr>
          <w:p>
            <w:pPr>
              <w:spacing w:after="0" w:line="131" w:lineRule="exact"/>
              <w:rPr>
                <w:rFonts w:ascii="Times New Roman" w:cs="Times New Roman" w:eastAsia="Times New Roman" w:hAnsi="Times New Roman"/>
                <w:sz w:val="15"/>
                <w:szCs w:val="15"/>
                <w:color w:val="0000FF"/>
              </w:rPr>
            </w:pPr>
            <w:hyperlink r:id="rId138">
              <w:r>
                <w:rPr>
                  <w:rFonts w:ascii="Times New Roman" w:cs="Times New Roman" w:eastAsia="Times New Roman" w:hAnsi="Times New Roman"/>
                  <w:sz w:val="15"/>
                  <w:szCs w:val="15"/>
                  <w:color w:val="0000FF"/>
                </w:rPr>
                <w:t>Annual Report on Form 10-K for the year ended December 31, 2023, filed on February 22, 2024, File No. 001-32260).</w:t>
              </w:r>
            </w:hyperlink>
          </w:p>
        </w:tc>
        <w:tc>
          <w:tcPr>
            <w:tcW w:w="140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0000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23"/>
                <w:szCs w:val="23"/>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Indenture dated as of January 1, 2006 by and among Westlake, the potential subsidiary guarantors listed therein and JPMorgan Chase Bank,</w:t>
              </w:r>
            </w:hyperlink>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National Association, as trustee (incorporated by reference to Westlake's Current Report on Form 8-K, filed on January 13, 2006, File No. 1</w:t>
              </w:r>
            </w:hyperlink>
          </w:p>
        </w:tc>
        <w:tc>
          <w:tcPr>
            <w:tcW w:w="60" w:type="dxa"/>
            <w:vAlign w:val="bottom"/>
            <w:tcBorders>
              <w:bottom w:val="single" w:sz="8" w:color="0000FF"/>
            </w:tcBorders>
            <w:gridSpan w:val="3"/>
          </w:tcPr>
          <w:p>
            <w:pPr>
              <w:jc w:val="right"/>
              <w:spacing w:after="0" w:line="152" w:lineRule="exact"/>
              <w:rPr>
                <w:rFonts w:ascii="Times New Roman" w:cs="Times New Roman" w:eastAsia="Times New Roman" w:hAnsi="Times New Roman"/>
                <w:sz w:val="16"/>
                <w:szCs w:val="16"/>
                <w:color w:val="0000FF"/>
                <w:w w:val="74"/>
              </w:rPr>
            </w:pPr>
            <w:hyperlink r:id="rId139">
              <w:r>
                <w:rPr>
                  <w:rFonts w:ascii="Times New Roman" w:cs="Times New Roman" w:eastAsia="Times New Roman" w:hAnsi="Times New Roman"/>
                  <w:sz w:val="16"/>
                  <w:szCs w:val="16"/>
                  <w:color w:val="0000FF"/>
                  <w:w w:val="74"/>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Borders>
              <w:bottom w:val="single" w:sz="8" w:color="0000FF"/>
            </w:tcBorders>
          </w:tcPr>
          <w:p>
            <w:pPr>
              <w:spacing w:after="0" w:line="164" w:lineRule="exact"/>
              <w:rPr>
                <w:rFonts w:ascii="Times New Roman" w:cs="Times New Roman" w:eastAsia="Times New Roman" w:hAnsi="Times New Roman"/>
                <w:sz w:val="18"/>
                <w:szCs w:val="18"/>
                <w:color w:val="0000FF"/>
                <w:w w:val="93"/>
              </w:rPr>
            </w:pPr>
            <w:hyperlink r:id="rId139">
              <w:r>
                <w:rPr>
                  <w:rFonts w:ascii="Times New Roman" w:cs="Times New Roman" w:eastAsia="Times New Roman" w:hAnsi="Times New Roman"/>
                  <w:sz w:val="18"/>
                  <w:szCs w:val="18"/>
                  <w:color w:val="0000FF"/>
                  <w:w w:val="93"/>
                </w:rPr>
                <w:t>32260).</w:t>
              </w:r>
            </w:hyperlink>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00" w:type="dxa"/>
            <w:vAlign w:val="bottom"/>
          </w:tcPr>
          <w:p>
            <w:pPr>
              <w:spacing w:after="0"/>
              <w:rPr>
                <w:sz w:val="22"/>
                <w:szCs w:val="22"/>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Eighth Supplemental Indenture (including the form of the Notes), dated as of August 10, 2016, among Westlake Corporation, the Guarantors</w:t>
              </w:r>
            </w:hyperlink>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8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(as defined therein) and The Bank of New York Mellon Trust Company, N.A., as trustee (incorporated by reference to Exhibit 4.2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80" w:type="dxa"/>
            <w:vAlign w:val="bottom"/>
            <w:tcBorders>
              <w:top w:val="single" w:sz="8" w:color="0000FF"/>
            </w:tcBorders>
            <w:gridSpan w:val="13"/>
          </w:tcPr>
          <w:p>
            <w:pPr>
              <w:spacing w:after="0" w:line="16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Westlake's Current Report on Form 8-K, filed on August 10, 2016, File No. 001-32260).</w:t>
              </w:r>
            </w:hyperlink>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Pr>
          <w:p>
            <w:pPr>
              <w:spacing w:after="0"/>
              <w:rPr>
                <w:sz w:val="22"/>
                <w:szCs w:val="22"/>
                <w:color w:val="auto"/>
              </w:rPr>
            </w:pPr>
          </w:p>
        </w:tc>
        <w:tc>
          <w:tcPr>
            <w:tcW w:w="9900" w:type="dxa"/>
            <w:vAlign w:val="bottom"/>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Tenth Supplemental Indenture (including the form of the Notes), dated as of November 29, 2017, among Westlake Corporation, the</w:t>
              </w:r>
            </w:hyperlink>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2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Subsidiary Guarantors (as defined therein) and The Bank of New York Mellon Trust Company, N.A., as trustee (incorporated by</w:t>
              </w:r>
            </w:hyperlink>
          </w:p>
        </w:tc>
        <w:tc>
          <w:tcPr>
            <w:tcW w:w="680" w:type="dxa"/>
            <w:vAlign w:val="bottom"/>
            <w:gridSpan w:val="18"/>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reference</w:t>
              </w:r>
            </w:hyperlink>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74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to Exhibit 4.2 to Westlake's Current Report on Form 8-K, filed on November 28, 2017, File No. 001-32260).</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tcPr>
          <w:p>
            <w:pPr>
              <w:spacing w:after="0"/>
              <w:rPr>
                <w:sz w:val="22"/>
                <w:szCs w:val="22"/>
                <w:color w:val="auto"/>
              </w:rPr>
            </w:pPr>
          </w:p>
        </w:tc>
        <w:tc>
          <w:tcPr>
            <w:tcW w:w="990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Eleventh Supplemental Indenture (including the form of the Notes), dated as of November 28, 2017, among Westlake Corporation, the</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4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900" w:type="dxa"/>
            <w:vAlign w:val="bottom"/>
            <w:gridSpan w:val="30"/>
          </w:tcPr>
          <w:p>
            <w:pPr>
              <w:spacing w:after="0" w:line="15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Subsidiary Guarantors (as defined therein) and The Bank of New York Mellon Trust Company, N.A., as trustee (incorporated by reference</w:t>
              </w:r>
            </w:hyperlink>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74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to Exhibit 4.3 to Westlake's Current Report on Form 8-K, filed on November 28, 2017, File No. 001-32260).</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spacing w:after="0"/>
              <w:rPr>
                <w:sz w:val="22"/>
                <w:szCs w:val="22"/>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Twelfth Supplemental Indenture (including the form of the Notes), dated as of July 17, 2019, between Westlake Corporation and The Bank</w:t>
              </w:r>
            </w:hyperlink>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of New York Mellon Trust Company, N.A., as trustee (incorporated by reference to Exhibit 4.2 to Westlake's Current Report on Form 8-K</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80" w:type="dxa"/>
            <w:vAlign w:val="bottom"/>
            <w:tcBorders>
              <w:top w:val="single" w:sz="8" w:color="0000FF"/>
            </w:tcBorders>
            <w:gridSpan w:val="19"/>
          </w:tcPr>
          <w:p>
            <w:pPr>
              <w:spacing w:after="0" w:line="16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filed on July 17, 2019, File No. 1-32260).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600" w:type="dxa"/>
            <w:vAlign w:val="bottom"/>
          </w:tcPr>
          <w:p>
            <w:pPr>
              <w:spacing w:after="0"/>
              <w:rPr>
                <w:sz w:val="22"/>
                <w:szCs w:val="22"/>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Thirteenth Supplemental Indenture (including the form of Notes), dated as of June 12, 2020, between Westlake Corporation and The Bank</w:t>
              </w:r>
            </w:hyperlink>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72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of New Mellon Trust Company, N.A., as trustee (incorporated by reference to Westlake's Current Report on Form 8-K filed on June 12,</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50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2020, File No. 1-32260).</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tcPr>
          <w:p>
            <w:pPr>
              <w:spacing w:after="0"/>
              <w:rPr>
                <w:sz w:val="22"/>
                <w:szCs w:val="22"/>
                <w:color w:val="auto"/>
              </w:rPr>
            </w:pPr>
          </w:p>
        </w:tc>
        <w:tc>
          <w:tcPr>
            <w:tcW w:w="990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Fourteenth Supplemental Indenture (including the Notes), dated as of August 19, 2021, between Westlake Corporation and The Bank of</w:t>
              </w:r>
            </w:hyperlink>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New York Mellon Trust Company, N.A., as trustee (incorporated by reference to Exhibit 4.2 to Westlake's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20" w:type="dxa"/>
            <w:vAlign w:val="bottom"/>
            <w:tcBorders>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filed on August 19, 2021, File No. 001-32260).</w:t>
              </w:r>
            </w:hyperlink>
          </w:p>
        </w:tc>
        <w:tc>
          <w:tcPr>
            <w:tcW w:w="62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tcPr>
          <w:p>
            <w:pPr>
              <w:spacing w:after="0"/>
              <w:rPr>
                <w:sz w:val="22"/>
                <w:szCs w:val="22"/>
                <w:color w:val="auto"/>
              </w:rPr>
            </w:pPr>
          </w:p>
        </w:tc>
        <w:tc>
          <w:tcPr>
            <w:tcW w:w="99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Fifteenth Supplemental Indenture (including the Notes), dated as of November 6, 2025, between Westlake Corporation and The Bank of</w:t>
            </w: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6"/>
                <w:szCs w:val="16"/>
                <w:color w:val="0000FF"/>
              </w:rPr>
              <w:t>New York Mellon Trust Company, N.A., as trustee.</w:t>
            </w:r>
          </w:p>
        </w:tc>
        <w:tc>
          <w:tcPr>
            <w:tcW w:w="12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gridSpan w:val="6"/>
            <w:shd w:val="clear" w:color="auto" w:fill="0000FF"/>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600" w:type="dxa"/>
            <w:vAlign w:val="bottom"/>
          </w:tcPr>
          <w:p>
            <w:pPr>
              <w:spacing w:after="0"/>
              <w:rPr>
                <w:sz w:val="23"/>
                <w:szCs w:val="23"/>
                <w:color w:val="auto"/>
              </w:rPr>
            </w:pPr>
          </w:p>
        </w:tc>
        <w:tc>
          <w:tcPr>
            <w:tcW w:w="9900" w:type="dxa"/>
            <w:vAlign w:val="bottom"/>
            <w:gridSpan w:val="30"/>
          </w:tcPr>
          <w:p>
            <w:pPr>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Paying Agency Agreement dated as of July 17, 2019, between Westlake Corporation and The Bank of New York Mellon, London Branch,</w:t>
              </w:r>
            </w:hyperlink>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70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as paying agent (incorporated by reference to Exhibit 4.4 to Westlake's Current Report on Form 8-K, filed on July 17, 2019, File No. 1-</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3"/>
              </w:rPr>
            </w:pPr>
            <w:hyperlink r:id="rId146">
              <w:r>
                <w:rPr>
                  <w:rFonts w:ascii="Times New Roman" w:cs="Times New Roman" w:eastAsia="Times New Roman" w:hAnsi="Times New Roman"/>
                  <w:sz w:val="18"/>
                  <w:szCs w:val="18"/>
                  <w:color w:val="0000FF"/>
                  <w:w w:val="93"/>
                </w:rPr>
                <w:t>32260).</w:t>
              </w:r>
            </w:hyperlink>
          </w:p>
        </w:tc>
        <w:tc>
          <w:tcPr>
            <w:tcW w:w="12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300" w:right="180"/>
        <w:spacing w:after="0" w:line="244" w:lineRule="auto"/>
        <w:rPr>
          <w:sz w:val="20"/>
          <w:szCs w:val="20"/>
          <w:color w:val="auto"/>
        </w:rPr>
      </w:pPr>
      <w:r>
        <w:rPr>
          <w:rFonts w:ascii="Times New Roman" w:cs="Times New Roman" w:eastAsia="Times New Roman" w:hAnsi="Times New Roman"/>
          <w:sz w:val="16"/>
          <w:szCs w:val="16"/>
          <w:color w:val="auto"/>
        </w:rPr>
        <w:t>Westlake and its subsidiaries are party to other long-term debt instruments not filed herewith under which the total amount of securities authorized does not exceed 10% of the total assets of Westlake and its subsidiaries on a consolidated basis. Pursuant to paragraph 4(iii)(A)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Item 601(b) of Regulation S-K, Westlake agrees to furnish a copy of such instruments to the SEC upon request.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770"/>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20" w:type="dxa"/>
            <w:vAlign w:val="bottom"/>
            <w:gridSpan w:val="36"/>
          </w:tcPr>
          <w:p>
            <w:pPr>
              <w:ind w:left="172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7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Amended and Restated Loan Agreement, dated as of November 1, 2017, by and between the Louisiana Local Government Environmental</w:t>
              </w:r>
            </w:hyperlink>
          </w:p>
        </w:tc>
        <w:tc>
          <w:tcPr>
            <w:tcW w:w="220" w:type="dxa"/>
            <w:vAlign w:val="bottom"/>
            <w:gridSpan w:val="9"/>
          </w:tcPr>
          <w:p>
            <w:pPr>
              <w:spacing w:after="0"/>
              <w:rPr>
                <w:sz w:val="23"/>
                <w:szCs w:val="23"/>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40" w:type="dxa"/>
            <w:vAlign w:val="bottom"/>
            <w:gridSpan w:val="40"/>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Facilities and Community Development Authority and Westlake Corporation (incorporated by reference to Exhibit 4.6 to Westlake's Current</w:t>
              </w:r>
            </w:hyperlink>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Report on Form 8-K, filed on November 28, 2017, File No. 001-32260).</w:t>
              </w:r>
            </w:hyperlink>
          </w:p>
        </w:tc>
        <w:tc>
          <w:tcPr>
            <w:tcW w:w="478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5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6"/>
              </w:rPr>
            </w:pPr>
            <w:hyperlink r:id="rId149">
              <w:r>
                <w:rPr>
                  <w:rFonts w:ascii="Times New Roman" w:cs="Times New Roman" w:eastAsia="Times New Roman" w:hAnsi="Times New Roman"/>
                  <w:sz w:val="18"/>
                  <w:szCs w:val="18"/>
                  <w:color w:val="0000FF"/>
                  <w:w w:val="96"/>
                </w:rPr>
                <w:t>Amended and Restated Senior Unsecured Revolving Credit Agreement by and among Westlake Chemical OpCo LP, Westlake Polymers</w:t>
              </w:r>
            </w:hyperlink>
          </w:p>
        </w:tc>
        <w:tc>
          <w:tcPr>
            <w:tcW w:w="360" w:type="dxa"/>
            <w:vAlign w:val="bottom"/>
            <w:gridSpan w:val="16"/>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20" w:type="dxa"/>
            <w:vAlign w:val="bottom"/>
            <w:tcBorders>
              <w:bottom w:val="single" w:sz="8" w:color="0000FF"/>
            </w:tcBorders>
            <w:gridSpan w:val="31"/>
          </w:tcPr>
          <w:p>
            <w:pPr>
              <w:spacing w:after="0" w:line="177"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LLC and the lenders party thereto, dated as of June 1, 2017 (incorporated by reference to Exhibit 10.9 to Westlake Chemical Partners LP's</w:t>
              </w:r>
            </w:hyperlink>
          </w:p>
        </w:tc>
        <w:tc>
          <w:tcPr>
            <w:tcW w:w="220" w:type="dxa"/>
            <w:vAlign w:val="bottom"/>
            <w:gridSpan w:val="9"/>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360" w:type="dxa"/>
            <w:vAlign w:val="bottom"/>
            <w:tcBorders>
              <w:bottom w:val="single" w:sz="8" w:color="0000FF"/>
            </w:tcBorders>
            <w:gridSpan w:val="14"/>
          </w:tcPr>
          <w:p>
            <w:pPr>
              <w:spacing w:after="0" w:line="190"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Annual Report on Form 10-K for the year ended December 31, 2019, filed on February 28, 2020, File No. 001-36567).</w:t>
              </w:r>
            </w:hyperlink>
          </w:p>
        </w:tc>
        <w:tc>
          <w:tcPr>
            <w:tcW w:w="1580" w:type="dxa"/>
            <w:vAlign w:val="bottom"/>
            <w:gridSpan w:val="26"/>
          </w:tcPr>
          <w:p>
            <w:pPr>
              <w:spacing w:after="0"/>
              <w:rPr>
                <w:sz w:val="16"/>
                <w:szCs w:val="16"/>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40" w:type="dxa"/>
            <w:vAlign w:val="bottom"/>
            <w:gridSpan w:val="4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First Amendment to Amended and Restated Senior Unsecured Revolving Credit Agreement (incorporated by reference to Exhibit 10.1 to</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6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Westlake Chemical Partners LP's Quarterly Report on Form 10-Q for the quarter ended September 30, 2018, filed on November 6,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50">
              <w:r>
                <w:rPr>
                  <w:rFonts w:ascii="Times New Roman" w:cs="Times New Roman" w:eastAsia="Times New Roman" w:hAnsi="Times New Roman"/>
                  <w:sz w:val="18"/>
                  <w:szCs w:val="18"/>
                  <w:color w:val="0000FF"/>
                  <w:w w:val="96"/>
                </w:rPr>
                <w:t>File No. 001-36567).</w:t>
              </w:r>
            </w:hyperlink>
          </w:p>
        </w:tc>
        <w:tc>
          <w:tcPr>
            <w:tcW w:w="814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Second Amendment to Amended and Restated Senior Unsecured Revolving Credit Agreement by and among Westlake Chemical OpCo LP,</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36"/>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Westlake Polymers LLC, and the lenders party thereto, dated as of July 12, 2022 (incorporated by reference to Exhibit 10.1 to Westlake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52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Chemical Partners LP's Current Report on Form 8-K, filed on July 15, 2022, File No. 001-36567).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Senior Unsecured Revolving Credit Agreement by and among Westlake Chemical Partners LP and Westlake Chemical Finance Corporation,</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80" w:type="dxa"/>
            <w:vAlign w:val="bottom"/>
            <w:tcBorders>
              <w:top w:val="single" w:sz="8" w:color="0000FF"/>
            </w:tcBorders>
            <w:gridSpan w:val="38"/>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dated as of April 29, 2015 (incorporated by reference to Exhibit 10.1 to Westlake Chemical Partners LP's Current Report on Form 8-K filed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Borders>
              <w:top w:val="single" w:sz="8" w:color="0000FF"/>
              <w:bottom w:val="single" w:sz="8" w:color="0000FF"/>
            </w:tcBorders>
            <w:gridSpan w:val="4"/>
          </w:tcPr>
          <w:p>
            <w:pPr>
              <w:spacing w:after="0" w:line="164" w:lineRule="exact"/>
              <w:rPr>
                <w:rFonts w:ascii="Times New Roman" w:cs="Times New Roman" w:eastAsia="Times New Roman" w:hAnsi="Times New Roman"/>
                <w:sz w:val="18"/>
                <w:szCs w:val="18"/>
                <w:color w:val="0000FF"/>
                <w:w w:val="96"/>
              </w:rPr>
            </w:pPr>
            <w:hyperlink r:id="rId152">
              <w:r>
                <w:rPr>
                  <w:rFonts w:ascii="Times New Roman" w:cs="Times New Roman" w:eastAsia="Times New Roman" w:hAnsi="Times New Roman"/>
                  <w:sz w:val="18"/>
                  <w:szCs w:val="18"/>
                  <w:color w:val="0000FF"/>
                  <w:w w:val="96"/>
                </w:rPr>
                <w:t>on April 30, 2015, File No. 001-36567).</w:t>
              </w:r>
            </w:hyperlink>
          </w:p>
        </w:tc>
        <w:tc>
          <w:tcPr>
            <w:tcW w:w="6980" w:type="dxa"/>
            <w:vAlign w:val="bottom"/>
            <w:tcBorders>
              <w:top w:val="single" w:sz="8" w:color="0000FF"/>
            </w:tcBorders>
            <w:gridSpan w:val="31"/>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First Amendment to Senior Unsecured Revolving Credit Agreement by and between Westlake Chemical Partners LP, as borrower, and</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Westlake Chemical Finance Corporation, as lender, dated as of August 1, 2017 (incorporated by reference to Exhibit 10.1 to Westlake</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80" w:type="dxa"/>
            <w:vAlign w:val="bottom"/>
            <w:tcBorders>
              <w:top w:val="single" w:sz="8" w:color="0000FF"/>
            </w:tcBorders>
            <w:gridSpan w:val="19"/>
          </w:tcPr>
          <w:p>
            <w:pPr>
              <w:spacing w:after="0" w:line="164"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Chemical Partners LP's Quarterly Report on Form 10-Q for the quarter ended June 30, 2017, File No. 001-36567).</w:t>
              </w:r>
            </w:hyperlink>
          </w:p>
        </w:tc>
        <w:tc>
          <w:tcPr>
            <w:tcW w:w="1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Second Amendment to Senior Unsecured Revolving Credit Agreement by and between Westlake Chemical Partners LP, as borrower, and</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4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Westlake Chemical Finance Corporation, as lender, dated as of November 28, 2017 (incorporated herein by reference to Exhibit 10.12 to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140" w:type="dxa"/>
            <w:vAlign w:val="bottom"/>
            <w:tcBorders>
              <w:top w:val="single" w:sz="8" w:color="0000FF"/>
              <w:bottom w:val="single" w:sz="8" w:color="0000FF"/>
            </w:tcBorders>
            <w:gridSpan w:val="15"/>
          </w:tcPr>
          <w:p>
            <w:pPr>
              <w:spacing w:after="0" w:line="164"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Westlake's Annual Report on Form 10-K for the year ended December 31, 2017, filed on February 21, 2018, File No. 001-32260).</w:t>
              </w:r>
            </w:hyperlink>
          </w:p>
        </w:tc>
        <w:tc>
          <w:tcPr>
            <w:tcW w:w="460" w:type="dxa"/>
            <w:vAlign w:val="bottom"/>
            <w:tcBorders>
              <w:top w:val="single" w:sz="8" w:color="0000FF"/>
            </w:tcBorders>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Third Amendment to Senior Unsecured Revolving Credit Agreement by and between Westlake Chemical Partners LP, as borrower, and</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0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Westlake Chemical Finance Corporation, as lender, dated as of March 19, 2020 (incorporated herein by reference to Exhibit 10.1 to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2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Westlake Chemical Partners LP's Quarterly Report on Form 10-Q for the quarter ended March 31, 2020, filed on May 6, 2020, File</w:t>
              </w:r>
            </w:hyperlink>
          </w:p>
        </w:tc>
        <w:tc>
          <w:tcPr>
            <w:tcW w:w="20" w:type="dxa"/>
            <w:vAlign w:val="bottom"/>
          </w:tcPr>
          <w:p>
            <w:pPr>
              <w:spacing w:after="0"/>
              <w:rPr>
                <w:sz w:val="14"/>
                <w:szCs w:val="14"/>
                <w:color w:val="auto"/>
              </w:rPr>
            </w:pPr>
          </w:p>
        </w:tc>
        <w:tc>
          <w:tcPr>
            <w:tcW w:w="700" w:type="dxa"/>
            <w:vAlign w:val="bottom"/>
            <w:gridSpan w:val="23"/>
          </w:tcPr>
          <w:p>
            <w:pPr>
              <w:spacing w:after="0" w:line="164"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No. 001-</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36567).</w:t>
              </w:r>
            </w:hyperlink>
          </w:p>
        </w:tc>
        <w:tc>
          <w:tcPr>
            <w:tcW w:w="6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Fourth Amendment to Senior Unsecured Revolving Credit Agreement by and between Westlake Chemical Partners LP, as borrower, and</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Westlake Chemical Finance Corporation, as lender, dated as of July 12, 2022 (incorporated herein by reference to Exhibit 10.2 to Westlake</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40" w:type="dxa"/>
            <w:vAlign w:val="bottom"/>
            <w:gridSpan w:val="32"/>
          </w:tcPr>
          <w:p>
            <w:pPr>
              <w:spacing w:after="0" w:line="16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Chemical Partners LP's Current Report on Form 8-K, filed on July 15, 2022, File No. 001-36567).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Credit Agreement dated as of June 9, 2022, by and among Westlake Corporation, the lenders from time to time party thereto, the issuing</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 xml:space="preserve">banks party thereto and JPMorgan Chase Bank, National Association, as Administrative Agent, relating to a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1.5 billion senior unsecured</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80" w:type="dxa"/>
            <w:vAlign w:val="bottom"/>
            <w:tcBorders>
              <w:bottom w:val="single" w:sz="8" w:color="0000FF"/>
            </w:tcBorders>
            <w:gridSpan w:val="29"/>
          </w:tcPr>
          <w:p>
            <w:pPr>
              <w:spacing w:after="0" w:line="164"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revolving credit facility (incorporated by reference to Exhibit 10.1 to Westlake's Current Report on Form 8-K, filed on June 09, 2022, File</w:t>
              </w:r>
            </w:hyperlink>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gridSpan w:val="30"/>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No. 001-32260).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940" w:type="dxa"/>
            <w:vAlign w:val="bottom"/>
            <w:gridSpan w:val="4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Registration Rights Agreement between Westlake and TTWF LP (incorporated by reference to Exhibit 10.13 to Westlake's</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4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Registration Statement on Form S-1/A, filed on July 2, 2004, File No.333-115790).</w:t>
              </w:r>
            </w:hyperlink>
          </w:p>
        </w:tc>
        <w:tc>
          <w:tcPr>
            <w:tcW w:w="40" w:type="dxa"/>
            <w:vAlign w:val="bottom"/>
          </w:tcPr>
          <w:p>
            <w:pPr>
              <w:spacing w:after="0"/>
              <w:rPr>
                <w:sz w:val="13"/>
                <w:szCs w:val="13"/>
                <w:color w:val="auto"/>
              </w:rPr>
            </w:pPr>
          </w:p>
        </w:tc>
        <w:tc>
          <w:tcPr>
            <w:tcW w:w="48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gridSpan w:val="8"/>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40" w:type="dxa"/>
            <w:vAlign w:val="bottom"/>
            <w:gridSpan w:val="40"/>
          </w:tcPr>
          <w:p>
            <w:pPr>
              <w:spacing w:after="0"/>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Westlake Corporation 2013 Omnibus Incentive Plan (as amended and restated as of May 19, 2017) (incorporated by reference to Appendix</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B to Westlake's Definitive Proxy Statement on Schedule 14A filed on April 7, 2017, File No.1-32260).</w:t>
              </w:r>
            </w:hyperlink>
          </w:p>
        </w:tc>
        <w:tc>
          <w:tcPr>
            <w:tcW w:w="25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40" w:type="dxa"/>
            <w:vAlign w:val="bottom"/>
            <w:gridSpan w:val="4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Westlake Corporation 2013 Omnibus Incentive Plan (as amended and restated effective May 11, 2023) (incorporated by reference to</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8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Appendix B to Westlake's Definitive Proxy Statement on Schedule 14A filed on March 31, 2023, File No.1-32260).</w:t>
              </w:r>
            </w:hyperlink>
          </w:p>
        </w:tc>
        <w:tc>
          <w:tcPr>
            <w:tcW w:w="500" w:type="dxa"/>
            <w:vAlign w:val="bottom"/>
            <w:gridSpan w:val="16"/>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80" w:type="dxa"/>
            <w:vAlign w:val="bottom"/>
            <w:gridSpan w:val="11"/>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60" w:type="dxa"/>
            <w:vAlign w:val="bottom"/>
            <w:gridSpan w:val="21"/>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40" w:type="dxa"/>
            <w:vAlign w:val="bottom"/>
            <w:gridSpan w:val="40"/>
          </w:tcPr>
          <w:p>
            <w:pPr>
              <w:spacing w:after="0"/>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Westlake Corporation Amended and Restated Annual Incentive Plan as of May 11, 2023 (incorporated by reference to Westlake's Quarterly</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Report on Form 10-Q for the quarter ended June 30, 2023, filed on August 3, 2023, File No. 001-32260).</w:t>
              </w:r>
            </w:hyperlink>
          </w:p>
        </w:tc>
        <w:tc>
          <w:tcPr>
            <w:tcW w:w="160" w:type="dxa"/>
            <w:vAlign w:val="bottom"/>
            <w:gridSpan w:val="6"/>
          </w:tcPr>
          <w:p>
            <w:pPr>
              <w:spacing w:after="0"/>
              <w:rPr>
                <w:sz w:val="13"/>
                <w:szCs w:val="13"/>
                <w:color w:val="auto"/>
              </w:rPr>
            </w:pPr>
          </w:p>
        </w:tc>
      </w:tr>
      <w:tr>
        <w:trPr>
          <w:trHeight w:val="92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tcBorders>
              <w:top w:val="single" w:sz="8" w:color="0000FF"/>
            </w:tcBorders>
            <w:gridSpan w:val="5"/>
          </w:tcPr>
          <w:p>
            <w:pPr>
              <w:ind w:left="4200"/>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70"/>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60" w:type="dxa"/>
            <w:vAlign w:val="bottom"/>
            <w:gridSpan w:val="15"/>
          </w:tcPr>
          <w:p>
            <w:pPr>
              <w:ind w:left="41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40" w:type="dxa"/>
            <w:vAlign w:val="bottom"/>
            <w:gridSpan w:val="16"/>
          </w:tcPr>
          <w:p>
            <w:pPr>
              <w:spacing w:after="0"/>
              <w:rPr>
                <w:rFonts w:ascii="Times New Roman" w:cs="Times New Roman" w:eastAsia="Times New Roman" w:hAnsi="Times New Roman"/>
                <w:sz w:val="18"/>
                <w:szCs w:val="18"/>
                <w:color w:val="0000FF"/>
                <w:w w:val="96"/>
              </w:rPr>
            </w:pPr>
            <w:hyperlink r:id="rId164">
              <w:r>
                <w:rPr>
                  <w:rFonts w:ascii="Times New Roman" w:cs="Times New Roman" w:eastAsia="Times New Roman" w:hAnsi="Times New Roman"/>
                  <w:sz w:val="18"/>
                  <w:szCs w:val="18"/>
                  <w:color w:val="0000FF"/>
                  <w:w w:val="96"/>
                </w:rPr>
                <w:t>Investment Management Agreement among Westlake Corporation, Westlake Chemical OpCo LP and Westlake Chemical Partners LP, dated</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as of August 1, 2017 (incorporated herein by reference to Exhibit 10.1 to Westlake's Quarterly Report on Form 10-Q for the quarter ended</w:t>
              </w:r>
            </w:hyperlink>
          </w:p>
        </w:tc>
        <w:tc>
          <w:tcPr>
            <w:tcW w:w="2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September 30, 2017, filed on November 7, 2017, File No. 001-32260).</w:t>
              </w:r>
            </w:hyperlink>
          </w:p>
        </w:tc>
        <w:tc>
          <w:tcPr>
            <w:tcW w:w="47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5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2015</w:t>
              </w:r>
            </w:hyperlink>
          </w:p>
        </w:tc>
        <w:tc>
          <w:tcPr>
            <w:tcW w:w="9460" w:type="dxa"/>
            <w:vAlign w:val="bottom"/>
            <w:gridSpan w:val="15"/>
          </w:tcPr>
          <w:p>
            <w:pPr>
              <w:ind w:left="20"/>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Form of Stock Option Award Letter for Executive Officer Awards (incorporated by reference to Exhibit 10.3 to Westlake's Quarterly</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Report on Form 10-Q for the quarter ended March 31, 2015 filed on May 6, 2015, File No. 001-32260).</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4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2018</w:t>
              </w:r>
            </w:hyperlink>
          </w:p>
        </w:tc>
        <w:tc>
          <w:tcPr>
            <w:tcW w:w="9460" w:type="dxa"/>
            <w:vAlign w:val="bottom"/>
            <w:gridSpan w:val="15"/>
          </w:tcPr>
          <w:p>
            <w:pPr>
              <w:ind w:left="20"/>
              <w:spacing w:after="0"/>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Form of Stock Option Award Letter for Executive Officer Awards (incorporated by reference to Exhibit 10.21 to Westlake's Annual</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2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Report on Form 10-K for the year ended December 31, 2017 filed on February 21, 2018, File No. 001-32260).</w:t>
              </w:r>
            </w:hyperlink>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4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2021</w:t>
              </w:r>
            </w:hyperlink>
          </w:p>
        </w:tc>
        <w:tc>
          <w:tcPr>
            <w:tcW w:w="9460" w:type="dxa"/>
            <w:vAlign w:val="bottom"/>
            <w:gridSpan w:val="15"/>
          </w:tcPr>
          <w:p>
            <w:pPr>
              <w:ind w:left="20"/>
              <w:spacing w:after="0"/>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Form of Stock Option Award Letter for Executive Officer Awards (incorporated by reference to Exhibit 10.19 to Westlake's Annual</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2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Report on Form 10-K for the year ended December 31, 2020 filed on February 24, 2021, File No. 001-32260).</w:t>
              </w:r>
            </w:hyperlink>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4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2023</w:t>
              </w:r>
            </w:hyperlink>
          </w:p>
        </w:tc>
        <w:tc>
          <w:tcPr>
            <w:tcW w:w="9460" w:type="dxa"/>
            <w:vAlign w:val="bottom"/>
            <w:gridSpan w:val="15"/>
          </w:tcPr>
          <w:p>
            <w:pPr>
              <w:ind w:left="20"/>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Restricted Stock Unit Award Letter for Executive Officer Awards (incorporated by reference to Exhibit 10.3 to Westlake's</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6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Quarterly Report on Form 10-Q for the quarter ended June 30, 2023 filed on August 3, 2023, File No. 001-32260).</w:t>
              </w:r>
            </w:hyperlink>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4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2024</w:t>
              </w:r>
            </w:hyperlink>
          </w:p>
        </w:tc>
        <w:tc>
          <w:tcPr>
            <w:tcW w:w="9460" w:type="dxa"/>
            <w:vAlign w:val="bottom"/>
            <w:gridSpan w:val="15"/>
          </w:tcPr>
          <w:p>
            <w:pPr>
              <w:ind w:left="20"/>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Form of Stock Option Award Letter for Executive Officer Awards (incorporated by reference to Westlake's Annual Report on Form</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10-K for the year ended December 31, 2023, filed on February 22, 2024, File No. 001-32260).</w:t>
              </w:r>
            </w:hyperlink>
          </w:p>
        </w:tc>
        <w:tc>
          <w:tcPr>
            <w:tcW w:w="1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4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2024</w:t>
              </w:r>
            </w:hyperlink>
          </w:p>
        </w:tc>
        <w:tc>
          <w:tcPr>
            <w:tcW w:w="9460" w:type="dxa"/>
            <w:vAlign w:val="bottom"/>
            <w:gridSpan w:val="15"/>
          </w:tcPr>
          <w:p>
            <w:pPr>
              <w:ind w:left="20"/>
              <w:spacing w:after="0"/>
              <w:rPr>
                <w:rFonts w:ascii="Times New Roman" w:cs="Times New Roman" w:eastAsia="Times New Roman" w:hAnsi="Times New Roman"/>
                <w:sz w:val="18"/>
                <w:szCs w:val="18"/>
                <w:color w:val="0000FF"/>
                <w:w w:val="97"/>
              </w:rPr>
            </w:pPr>
            <w:hyperlink r:id="rId170">
              <w:r>
                <w:rPr>
                  <w:rFonts w:ascii="Times New Roman" w:cs="Times New Roman" w:eastAsia="Times New Roman" w:hAnsi="Times New Roman"/>
                  <w:sz w:val="18"/>
                  <w:szCs w:val="18"/>
                  <w:color w:val="0000FF"/>
                  <w:w w:val="97"/>
                </w:rPr>
                <w:t>Form of Performance Stock Unit Award Letter for Executive Officer Awards (incorporated by reference to Westlake's Annual Report</w:t>
              </w:r>
            </w:hyperlink>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on Form 10-K for the year ended December 31, 2023, filed on February 22, 2024, File No. 001-32260).</w:t>
              </w:r>
            </w:hyperlink>
          </w:p>
        </w:tc>
        <w:tc>
          <w:tcPr>
            <w:tcW w:w="2460" w:type="dxa"/>
            <w:vAlign w:val="bottom"/>
            <w:tcBorders>
              <w:top w:val="single" w:sz="8" w:color="0000FF"/>
            </w:tcBorders>
            <w:gridSpan w:val="8"/>
          </w:tcPr>
          <w:p>
            <w:pPr>
              <w:spacing w:after="0"/>
              <w:rPr>
                <w:sz w:val="13"/>
                <w:szCs w:val="13"/>
                <w:color w:val="auto"/>
              </w:rPr>
            </w:pPr>
          </w:p>
        </w:tc>
        <w:tc>
          <w:tcPr>
            <w:tcW w:w="100" w:type="dxa"/>
            <w:vAlign w:val="bottom"/>
            <w:gridSpan w:val="2"/>
          </w:tcPr>
          <w:p>
            <w:pPr>
              <w:spacing w:after="0"/>
              <w:rPr>
                <w:sz w:val="13"/>
                <w:szCs w:val="13"/>
                <w:color w:val="auto"/>
              </w:rPr>
            </w:pPr>
          </w:p>
        </w:tc>
      </w:tr>
    </w:tbl>
    <w:p>
      <w:pPr>
        <w:spacing w:after="0" w:line="87" w:lineRule="exact"/>
        <w:rPr>
          <w:sz w:val="20"/>
          <w:szCs w:val="20"/>
          <w:color w:val="auto"/>
        </w:rPr>
      </w:pPr>
    </w:p>
    <w:p>
      <w:pPr>
        <w:ind w:left="1300" w:right="340" w:hanging="1277"/>
        <w:spacing w:after="0" w:line="231" w:lineRule="auto"/>
        <w:tabs>
          <w:tab w:leader="none" w:pos="1300" w:val="left"/>
        </w:tabs>
        <w:numPr>
          <w:ilvl w:val="0"/>
          <w:numId w:val="34"/>
        </w:numPr>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Westlake Corporation Insider Trading Policy (incorporated by reference to Westlake’s Annual Report on Form 10-K for the year ended</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December 31, 2024, filed on February 25, 2025, File No. 001-32260).</w:t>
        </w:r>
      </w:hyperlink>
    </w:p>
    <w:p>
      <w:pPr>
        <w:spacing w:after="0" w:line="45"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7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Subsidiaries of Westlake.</w:t>
            </w:r>
          </w:p>
        </w:tc>
        <w:tc>
          <w:tcPr>
            <w:tcW w:w="4420" w:type="dxa"/>
            <w:vAlign w:val="bottom"/>
            <w:gridSpan w:val="4"/>
          </w:tcPr>
          <w:p>
            <w:pPr>
              <w:spacing w:after="0"/>
              <w:rPr>
                <w:sz w:val="17"/>
                <w:szCs w:val="17"/>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Consent of PricewaterhouseCoopers LLP.</w:t>
            </w:r>
          </w:p>
        </w:tc>
        <w:tc>
          <w:tcPr>
            <w:tcW w:w="3260" w:type="dxa"/>
            <w:vAlign w:val="bottom"/>
            <w:gridSpan w:val="3"/>
          </w:tcPr>
          <w:p>
            <w:pPr>
              <w:spacing w:after="0"/>
              <w:rPr>
                <w:sz w:val="22"/>
                <w:szCs w:val="22"/>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 15d-14(a) Certification (Principal Executive Officer).</w:t>
            </w: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Rule 13a-14(a) / 15d-14(a) Certification (Principal Financial Officer).</w:t>
            </w:r>
          </w:p>
        </w:tc>
        <w:tc>
          <w:tcPr>
            <w:tcW w:w="40" w:type="dxa"/>
            <w:vAlign w:val="bottom"/>
            <w:tcBorders>
              <w:top w:val="single" w:sz="8" w:color="0000FF"/>
            </w:tcBorders>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Section 1350 Certification (Principal Executive Officer and Principal Financial Officer).</w:t>
            </w:r>
          </w:p>
        </w:tc>
      </w:tr>
    </w:tbl>
    <w:p>
      <w:pPr>
        <w:spacing w:after="0" w:line="74" w:lineRule="exact"/>
        <w:rPr>
          <w:rFonts w:ascii="Times New Roman" w:cs="Times New Roman" w:eastAsia="Times New Roman" w:hAnsi="Times New Roman"/>
          <w:sz w:val="18"/>
          <w:szCs w:val="18"/>
          <w:color w:val="auto"/>
        </w:rPr>
      </w:pPr>
    </w:p>
    <w:p>
      <w:pPr>
        <w:ind w:left="1300" w:right="360" w:hanging="1277"/>
        <w:spacing w:after="0" w:line="225" w:lineRule="auto"/>
        <w:tabs>
          <w:tab w:leader="none" w:pos="1300" w:val="left"/>
        </w:tabs>
        <w:numPr>
          <w:ilvl w:val="0"/>
          <w:numId w:val="35"/>
        </w:numPr>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Westlake Corporation Policy for Recovery of Erroneously Awarded Compensation, effective as of October 2, 2023 (incorporated by</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reference to Westlake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s Annual Report on Form 10-K for the year ended December 31, 2023, filed on February 22, 2024, File No. 001-</w:t>
        </w:r>
      </w:hyperlink>
      <w:hyperlink r:id="rId172">
        <w:r>
          <w:rPr>
            <w:rFonts w:ascii="Times New Roman" w:cs="Times New Roman" w:eastAsia="Times New Roman" w:hAnsi="Times New Roman"/>
            <w:sz w:val="18"/>
            <w:szCs w:val="18"/>
            <w:u w:val="single" w:color="auto"/>
            <w:color w:val="0000FF"/>
          </w:rPr>
          <w:t>32260).</w:t>
        </w:r>
      </w:hyperlink>
    </w:p>
    <w:p>
      <w:pPr>
        <w:sectPr>
          <w:pgSz w:w="11900" w:h="16838" w:orient="portrait"/>
          <w:cols w:equalWidth="0" w:num="1">
            <w:col w:w="11120"/>
          </w:cols>
          <w:pgMar w:left="320" w:top="110" w:right="459" w:bottom="1440" w:gutter="0" w:footer="0" w:header="0"/>
        </w:sectPr>
      </w:pPr>
    </w:p>
    <w:p>
      <w:pPr>
        <w:spacing w:after="0" w:line="4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101.INS†</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9" w:lineRule="exact"/>
        <w:rPr>
          <w:rFonts w:ascii="Times New Roman" w:cs="Times New Roman" w:eastAsia="Times New Roman" w:hAnsi="Times New Roman"/>
          <w:sz w:val="18"/>
          <w:szCs w:val="18"/>
          <w:u w:val="single" w:color="auto"/>
          <w:color w:val="0000FF"/>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 within the Inline XBRL document.</w:t>
      </w:r>
    </w:p>
    <w:p>
      <w:pPr>
        <w:spacing w:after="0" w:line="6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00" w:space="600"/>
            <w:col w:w="9820"/>
          </w:cols>
          <w:pgMar w:left="320" w:top="11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101.SCH†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p>
      <w:pPr>
        <w:spacing w:after="0" w:line="11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540"/>
            <w:col w:w="9820"/>
          </w:cols>
          <w:pgMar w:left="320" w:top="11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101.CAL†</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p>
      <w:pPr>
        <w:spacing w:after="0" w:line="11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540"/>
            <w:col w:w="9820"/>
          </w:cols>
          <w:pgMar w:left="320" w:top="11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101.DEF†</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p>
      <w:pPr>
        <w:spacing w:after="0" w:line="11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560"/>
            <w:col w:w="9820"/>
          </w:cols>
          <w:pgMar w:left="320" w:top="11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101.LAB†</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p>
      <w:pPr>
        <w:spacing w:after="0" w:line="11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540"/>
            <w:col w:w="9820"/>
          </w:cols>
          <w:pgMar w:left="320" w:top="11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p>
      <w:pPr>
        <w:spacing w:after="0" w:line="11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560"/>
            <w:col w:w="9820"/>
          </w:cols>
          <w:pgMar w:left="320" w:top="110" w:right="459" w:bottom="1440" w:gutter="0" w:footer="0" w:header="0"/>
          <w:type w:val="continuous"/>
        </w:sectPr>
      </w:pPr>
    </w:p>
    <w:p>
      <w:pPr>
        <w:ind w:left="1300" w:right="20" w:hanging="1277"/>
        <w:spacing w:after="0" w:line="231"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File-The cover page interactive data file does not appear in the Interactive Data File because its XBRL tags are embedded within the Inline XBRL document and contained in Exhibit 101.</w:t>
      </w:r>
    </w:p>
    <w:p>
      <w:pPr>
        <w:spacing w:after="0" w:line="33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40" w:lineRule="exact"/>
        <w:rPr>
          <w:rFonts w:ascii="Times New Roman" w:cs="Times New Roman" w:eastAsia="Times New Roman" w:hAnsi="Times New Roman"/>
          <w:sz w:val="18"/>
          <w:szCs w:val="18"/>
          <w:u w:val="single" w:color="auto"/>
          <w:color w:val="0000FF"/>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21" w:lineRule="exact"/>
        <w:rPr>
          <w:rFonts w:ascii="Times New Roman" w:cs="Times New Roman" w:eastAsia="Times New Roman" w:hAnsi="Times New Roman"/>
          <w:sz w:val="18"/>
          <w:szCs w:val="18"/>
          <w:u w:val="single" w:color="auto"/>
          <w:color w:val="0000FF"/>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Furnished herewith.</w:t>
      </w:r>
    </w:p>
    <w:p>
      <w:pPr>
        <w:spacing w:after="0" w:line="4" w:lineRule="exact"/>
        <w:rPr>
          <w:rFonts w:ascii="Times New Roman" w:cs="Times New Roman" w:eastAsia="Times New Roman" w:hAnsi="Times New Roman"/>
          <w:sz w:val="18"/>
          <w:szCs w:val="18"/>
          <w:u w:val="single" w:color="auto"/>
          <w:color w:val="0000FF"/>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Management contract, compensatory plan or arrangement.</w:t>
      </w:r>
    </w:p>
    <w:p>
      <w:pPr>
        <w:spacing w:after="0" w:line="4" w:lineRule="exact"/>
        <w:rPr>
          <w:rFonts w:ascii="Times New Roman" w:cs="Times New Roman" w:eastAsia="Times New Roman" w:hAnsi="Times New Roman"/>
          <w:sz w:val="18"/>
          <w:szCs w:val="18"/>
          <w:u w:val="single" w:color="auto"/>
          <w:color w:val="0000FF"/>
        </w:rPr>
      </w:pPr>
    </w:p>
    <w:p>
      <w:pPr>
        <w:ind w:left="400" w:right="200" w:hanging="395"/>
        <w:spacing w:after="0" w:line="248" w:lineRule="auto"/>
        <w:tabs>
          <w:tab w:leader="none" w:pos="1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2022, Westlake Chemical Corporation changed its corporate name to Westlake Corporation. Accordingly, filings made prior to such date were made under the name Westlake Chemical Corporation.</w:t>
      </w:r>
    </w:p>
    <w:p>
      <w:pPr>
        <w:spacing w:after="0" w:line="200" w:lineRule="exact"/>
        <w:rPr>
          <w:rFonts w:ascii="Times New Roman" w:cs="Times New Roman" w:eastAsia="Times New Roman" w:hAnsi="Times New Roman"/>
          <w:sz w:val="18"/>
          <w:szCs w:val="18"/>
          <w:u w:val="single" w:color="auto"/>
          <w:color w:val="0000FF"/>
        </w:rPr>
      </w:pPr>
    </w:p>
    <w:p>
      <w:pPr>
        <w:spacing w:after="0" w:line="315" w:lineRule="exact"/>
        <w:rPr>
          <w:rFonts w:ascii="Times New Roman" w:cs="Times New Roman" w:eastAsia="Times New Roman" w:hAnsi="Times New Roman"/>
          <w:sz w:val="18"/>
          <w:szCs w:val="18"/>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4" w:lineRule="exact"/>
        <w:rPr>
          <w:sz w:val="20"/>
          <w:szCs w:val="20"/>
          <w:color w:val="auto"/>
        </w:rPr>
      </w:pPr>
    </w:p>
    <w:p>
      <w:pPr>
        <w:ind w:right="180" w:firstLine="43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ind w:left="7760"/>
        <w:spacing w:after="0"/>
        <w:rPr>
          <w:sz w:val="20"/>
          <w:szCs w:val="20"/>
          <w:color w:val="auto"/>
        </w:rPr>
      </w:pPr>
      <w:r>
        <w:rPr>
          <w:rFonts w:ascii="Times New Roman" w:cs="Times New Roman" w:eastAsia="Times New Roman" w:hAnsi="Times New Roman"/>
          <w:sz w:val="18"/>
          <w:szCs w:val="18"/>
          <w:color w:val="auto"/>
        </w:rPr>
        <w:t>WESTLAKE CORPORATION</w:t>
      </w:r>
    </w:p>
    <w:p>
      <w:pPr>
        <w:spacing w:after="0" w:line="280" w:lineRule="exact"/>
        <w:rPr>
          <w:sz w:val="20"/>
          <w:szCs w:val="20"/>
          <w:color w:val="auto"/>
        </w:rPr>
      </w:pPr>
    </w:p>
    <w:p>
      <w:pPr>
        <w:ind w:left="420"/>
        <w:spacing w:after="0"/>
        <w:tabs>
          <w:tab w:leader="none" w:pos="1140" w:val="left"/>
          <w:tab w:leader="none" w:pos="7920" w:val="left"/>
          <w:tab w:leader="none" w:pos="8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JEAN-MARC GILSON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13970</wp:posOffset>
            </wp:positionV>
            <wp:extent cx="29832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Jean-Marc Gilson, President, Chief Executive Officer and Director</w:t>
      </w:r>
    </w:p>
    <w:p>
      <w:pPr>
        <w:spacing w:after="0" w:line="187" w:lineRule="exact"/>
        <w:rPr>
          <w:sz w:val="20"/>
          <w:szCs w:val="20"/>
          <w:color w:val="auto"/>
        </w:rPr>
      </w:pPr>
    </w:p>
    <w:p>
      <w:pPr>
        <w:ind w:right="64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60"/>
          </w:cols>
          <w:pgMar w:left="320" w:top="118" w:right="319" w:bottom="1440" w:gutter="0" w:footer="0" w:header="0"/>
        </w:sectPr>
      </w:pPr>
    </w:p>
    <w:p>
      <w:pPr>
        <w:spacing w:after="0" w:line="1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r>
      <w:tr>
        <w:trPr>
          <w:trHeight w:val="20"/>
        </w:trPr>
        <w:tc>
          <w:tcPr>
            <w:tcW w:w="1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8"/>
        </w:trPr>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w w:val="98"/>
              </w:rPr>
              <w:t>J</w:t>
            </w:r>
            <w:r>
              <w:rPr>
                <w:rFonts w:ascii="Times New Roman" w:cs="Times New Roman" w:eastAsia="Times New Roman" w:hAnsi="Times New Roman"/>
                <w:sz w:val="14"/>
                <w:szCs w:val="14"/>
                <w:color w:val="auto"/>
                <w:w w:val="98"/>
              </w:rPr>
              <w:t>EAN-</w:t>
            </w:r>
            <w:r>
              <w:rPr>
                <w:rFonts w:ascii="Times New Roman" w:cs="Times New Roman" w:eastAsia="Times New Roman" w:hAnsi="Times New Roman"/>
                <w:sz w:val="18"/>
                <w:szCs w:val="18"/>
                <w:color w:val="auto"/>
                <w:w w:val="98"/>
              </w:rPr>
              <w:t>M</w:t>
            </w:r>
            <w:r>
              <w:rPr>
                <w:rFonts w:ascii="Times New Roman" w:cs="Times New Roman" w:eastAsia="Times New Roman" w:hAnsi="Times New Roman"/>
                <w:sz w:val="14"/>
                <w:szCs w:val="14"/>
                <w:color w:val="auto"/>
                <w:w w:val="98"/>
              </w:rPr>
              <w:t>ARC</w:t>
            </w:r>
            <w:r>
              <w:rPr>
                <w:rFonts w:ascii="Times New Roman" w:cs="Times New Roman" w:eastAsia="Times New Roman" w:hAnsi="Times New Roman"/>
                <w:sz w:val="18"/>
                <w:szCs w:val="18"/>
                <w:color w:val="auto"/>
                <w:w w:val="98"/>
              </w:rPr>
              <w:t xml:space="preserve"> G</w:t>
            </w:r>
            <w:r>
              <w:rPr>
                <w:rFonts w:ascii="Times New Roman" w:cs="Times New Roman" w:eastAsia="Times New Roman" w:hAnsi="Times New Roman"/>
                <w:sz w:val="14"/>
                <w:szCs w:val="14"/>
                <w:color w:val="auto"/>
                <w:w w:val="98"/>
              </w:rPr>
              <w:t>ILSON</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Jean-Marc Gilson</w:t>
            </w:r>
          </w:p>
        </w:tc>
      </w:tr>
      <w:tr>
        <w:trPr>
          <w:trHeight w:val="326"/>
        </w:trPr>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7"/>
              </w:rPr>
              <w:t>M</w:t>
            </w: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8"/>
                <w:szCs w:val="18"/>
                <w:color w:val="auto"/>
                <w:w w:val="97"/>
              </w:rPr>
              <w:t xml:space="preserve"> S</w:t>
            </w:r>
            <w:r>
              <w:rPr>
                <w:rFonts w:ascii="Times New Roman" w:cs="Times New Roman" w:eastAsia="Times New Roman" w:hAnsi="Times New Roman"/>
                <w:sz w:val="14"/>
                <w:szCs w:val="14"/>
                <w:color w:val="auto"/>
                <w:w w:val="97"/>
              </w:rPr>
              <w:t>TEVEN</w:t>
            </w:r>
            <w:r>
              <w:rPr>
                <w:rFonts w:ascii="Times New Roman" w:cs="Times New Roman" w:eastAsia="Times New Roman" w:hAnsi="Times New Roman"/>
                <w:sz w:val="18"/>
                <w:szCs w:val="18"/>
                <w:color w:val="auto"/>
                <w:w w:val="97"/>
              </w:rPr>
              <w:t xml:space="preserve"> B</w:t>
            </w:r>
            <w:r>
              <w:rPr>
                <w:rFonts w:ascii="Times New Roman" w:cs="Times New Roman" w:eastAsia="Times New Roman" w:hAnsi="Times New Roman"/>
                <w:sz w:val="14"/>
                <w:szCs w:val="14"/>
                <w:color w:val="auto"/>
                <w:w w:val="97"/>
              </w:rPr>
              <w:t>ENDER</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 Steven Bender</w:t>
            </w:r>
          </w:p>
        </w:tc>
      </w:tr>
      <w:tr>
        <w:trPr>
          <w:trHeight w:val="326"/>
        </w:trPr>
        <w:tc>
          <w:tcPr>
            <w:tcW w:w="15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89"/>
              </w:rPr>
              <w:t>/S/</w:t>
            </w:r>
          </w:p>
        </w:tc>
        <w:tc>
          <w:tcPr>
            <w:tcW w:w="160" w:type="dxa"/>
            <w:vAlign w:val="bottom"/>
          </w:tcPr>
          <w:p>
            <w:pPr>
              <w:spacing w:after="0"/>
              <w:rPr>
                <w:sz w:val="24"/>
                <w:szCs w:val="24"/>
                <w:color w:val="auto"/>
              </w:rPr>
            </w:pPr>
          </w:p>
        </w:tc>
        <w:tc>
          <w:tcPr>
            <w:tcW w:w="25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7"/>
              </w:rPr>
              <w:t>J</w:t>
            </w:r>
            <w:r>
              <w:rPr>
                <w:rFonts w:ascii="Times New Roman" w:cs="Times New Roman" w:eastAsia="Times New Roman" w:hAnsi="Times New Roman"/>
                <w:sz w:val="14"/>
                <w:szCs w:val="14"/>
                <w:color w:val="auto"/>
                <w:w w:val="97"/>
              </w:rPr>
              <w:t>EFFREY</w:t>
            </w:r>
            <w:r>
              <w:rPr>
                <w:rFonts w:ascii="Times New Roman" w:cs="Times New Roman" w:eastAsia="Times New Roman" w:hAnsi="Times New Roman"/>
                <w:sz w:val="18"/>
                <w:szCs w:val="18"/>
                <w:color w:val="auto"/>
                <w:w w:val="97"/>
              </w:rPr>
              <w:t xml:space="preserve"> A. H</w:t>
            </w:r>
            <w:r>
              <w:rPr>
                <w:rFonts w:ascii="Times New Roman" w:cs="Times New Roman" w:eastAsia="Times New Roman" w:hAnsi="Times New Roman"/>
                <w:sz w:val="14"/>
                <w:szCs w:val="14"/>
                <w:color w:val="auto"/>
                <w:w w:val="97"/>
              </w:rPr>
              <w:t>OLY</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Jeffrey A. Holy</w:t>
            </w:r>
          </w:p>
        </w:tc>
      </w:tr>
      <w:tr>
        <w:trPr>
          <w:trHeight w:val="326"/>
        </w:trPr>
        <w:tc>
          <w:tcPr>
            <w:tcW w:w="16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9"/>
              </w:rPr>
              <w:t>/S/</w:t>
            </w:r>
          </w:p>
        </w:tc>
        <w:tc>
          <w:tcPr>
            <w:tcW w:w="140" w:type="dxa"/>
            <w:vAlign w:val="bottom"/>
          </w:tcPr>
          <w:p>
            <w:pPr>
              <w:spacing w:after="0"/>
              <w:rPr>
                <w:sz w:val="24"/>
                <w:szCs w:val="24"/>
                <w:color w:val="auto"/>
              </w:rPr>
            </w:pPr>
          </w:p>
        </w:tc>
        <w:tc>
          <w:tcPr>
            <w:tcW w:w="24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9"/>
              </w:rPr>
              <w:t>J</w:t>
            </w:r>
            <w:r>
              <w:rPr>
                <w:rFonts w:ascii="Times New Roman" w:cs="Times New Roman" w:eastAsia="Times New Roman" w:hAnsi="Times New Roman"/>
                <w:sz w:val="14"/>
                <w:szCs w:val="14"/>
                <w:color w:val="auto"/>
                <w:w w:val="99"/>
              </w:rPr>
              <w:t>AMES</w:t>
            </w:r>
            <w:r>
              <w:rPr>
                <w:rFonts w:ascii="Times New Roman" w:cs="Times New Roman" w:eastAsia="Times New Roman" w:hAnsi="Times New Roman"/>
                <w:sz w:val="18"/>
                <w:szCs w:val="18"/>
                <w:color w:val="auto"/>
                <w:w w:val="99"/>
              </w:rPr>
              <w:t xml:space="preserve"> C</w:t>
            </w:r>
            <w:r>
              <w:rPr>
                <w:rFonts w:ascii="Times New Roman" w:cs="Times New Roman" w:eastAsia="Times New Roman" w:hAnsi="Times New Roman"/>
                <w:sz w:val="14"/>
                <w:szCs w:val="14"/>
                <w:color w:val="auto"/>
                <w:w w:val="99"/>
              </w:rPr>
              <w:t>HAO</w:t>
            </w:r>
          </w:p>
        </w:tc>
      </w:tr>
      <w:tr>
        <w:trPr>
          <w:trHeight w:val="27"/>
        </w:trPr>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w w:val="98"/>
              </w:rPr>
              <w:t>James Chao</w:t>
            </w:r>
          </w:p>
        </w:tc>
      </w:tr>
      <w:tr>
        <w:trPr>
          <w:trHeight w:val="326"/>
        </w:trPr>
        <w:tc>
          <w:tcPr>
            <w:tcW w:w="16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w:t>
            </w:r>
          </w:p>
        </w:tc>
        <w:tc>
          <w:tcPr>
            <w:tcW w:w="25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7"/>
              </w:rPr>
              <w:t>A</w:t>
            </w:r>
            <w:r>
              <w:rPr>
                <w:rFonts w:ascii="Times New Roman" w:cs="Times New Roman" w:eastAsia="Times New Roman" w:hAnsi="Times New Roman"/>
                <w:sz w:val="14"/>
                <w:szCs w:val="14"/>
                <w:color w:val="auto"/>
                <w:w w:val="97"/>
              </w:rPr>
              <w:t>LBERT</w:t>
            </w:r>
            <w:r>
              <w:rPr>
                <w:rFonts w:ascii="Times New Roman" w:cs="Times New Roman" w:eastAsia="Times New Roman" w:hAnsi="Times New Roman"/>
                <w:sz w:val="18"/>
                <w:szCs w:val="18"/>
                <w:color w:val="auto"/>
                <w:w w:val="97"/>
              </w:rPr>
              <w:t xml:space="preserve"> C</w:t>
            </w:r>
            <w:r>
              <w:rPr>
                <w:rFonts w:ascii="Times New Roman" w:cs="Times New Roman" w:eastAsia="Times New Roman" w:hAnsi="Times New Roman"/>
                <w:sz w:val="14"/>
                <w:szCs w:val="14"/>
                <w:color w:val="auto"/>
                <w:w w:val="97"/>
              </w:rPr>
              <w:t>HAO</w:t>
            </w:r>
          </w:p>
        </w:tc>
      </w:tr>
      <w:tr>
        <w:trPr>
          <w:trHeight w:val="27"/>
        </w:trPr>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Albert Chao</w:t>
            </w:r>
          </w:p>
        </w:tc>
      </w:tr>
      <w:tr>
        <w:trPr>
          <w:trHeight w:val="273"/>
        </w:trPr>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6"/>
              </w:rPr>
              <w:t>C</w:t>
            </w:r>
            <w:r>
              <w:rPr>
                <w:rFonts w:ascii="Times New Roman" w:cs="Times New Roman" w:eastAsia="Times New Roman" w:hAnsi="Times New Roman"/>
                <w:sz w:val="14"/>
                <w:szCs w:val="14"/>
                <w:color w:val="auto"/>
                <w:w w:val="96"/>
              </w:rPr>
              <w:t>ATHERINE</w:t>
            </w:r>
            <w:r>
              <w:rPr>
                <w:rFonts w:ascii="Times New Roman" w:cs="Times New Roman" w:eastAsia="Times New Roman" w:hAnsi="Times New Roman"/>
                <w:sz w:val="18"/>
                <w:szCs w:val="18"/>
                <w:color w:val="auto"/>
                <w:w w:val="96"/>
              </w:rPr>
              <w:t xml:space="preserve"> T. C</w:t>
            </w:r>
            <w:r>
              <w:rPr>
                <w:rFonts w:ascii="Times New Roman" w:cs="Times New Roman" w:eastAsia="Times New Roman" w:hAnsi="Times New Roman"/>
                <w:sz w:val="14"/>
                <w:szCs w:val="14"/>
                <w:color w:val="auto"/>
                <w:w w:val="96"/>
              </w:rPr>
              <w:t>HAO</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Catherine T. Chao</w:t>
            </w:r>
          </w:p>
        </w:tc>
      </w:tr>
      <w:tr>
        <w:trPr>
          <w:trHeight w:val="326"/>
        </w:trPr>
        <w:tc>
          <w:tcPr>
            <w:tcW w:w="1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w:t>
            </w:r>
          </w:p>
        </w:tc>
        <w:tc>
          <w:tcPr>
            <w:tcW w:w="25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4"/>
              </w:rPr>
              <w:t>D</w:t>
            </w:r>
            <w:r>
              <w:rPr>
                <w:rFonts w:ascii="Times New Roman" w:cs="Times New Roman" w:eastAsia="Times New Roman" w:hAnsi="Times New Roman"/>
                <w:sz w:val="14"/>
                <w:szCs w:val="14"/>
                <w:color w:val="auto"/>
                <w:w w:val="94"/>
              </w:rPr>
              <w:t>AVID</w:t>
            </w:r>
            <w:r>
              <w:rPr>
                <w:rFonts w:ascii="Times New Roman" w:cs="Times New Roman" w:eastAsia="Times New Roman" w:hAnsi="Times New Roman"/>
                <w:sz w:val="18"/>
                <w:szCs w:val="18"/>
                <w:color w:val="auto"/>
                <w:w w:val="94"/>
              </w:rPr>
              <w:t xml:space="preserve"> T. C</w:t>
            </w:r>
            <w:r>
              <w:rPr>
                <w:rFonts w:ascii="Times New Roman" w:cs="Times New Roman" w:eastAsia="Times New Roman" w:hAnsi="Times New Roman"/>
                <w:sz w:val="14"/>
                <w:szCs w:val="14"/>
                <w:color w:val="auto"/>
                <w:w w:val="94"/>
              </w:rPr>
              <w:t>HAO</w:t>
            </w:r>
          </w:p>
        </w:tc>
      </w:tr>
      <w:tr>
        <w:trPr>
          <w:trHeight w:val="27"/>
        </w:trPr>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David T. Chao</w:t>
            </w:r>
          </w:p>
        </w:tc>
      </w:tr>
      <w:tr>
        <w:trPr>
          <w:trHeight w:val="326"/>
        </w:trPr>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/S/</w:t>
            </w:r>
          </w:p>
        </w:tc>
        <w:tc>
          <w:tcPr>
            <w:tcW w:w="25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5"/>
              </w:rPr>
              <w:t>J</w:t>
            </w:r>
            <w:r>
              <w:rPr>
                <w:rFonts w:ascii="Times New Roman" w:cs="Times New Roman" w:eastAsia="Times New Roman" w:hAnsi="Times New Roman"/>
                <w:sz w:val="14"/>
                <w:szCs w:val="14"/>
                <w:color w:val="auto"/>
                <w:w w:val="95"/>
              </w:rPr>
              <w:t>OHN</w:t>
            </w:r>
            <w:r>
              <w:rPr>
                <w:rFonts w:ascii="Times New Roman" w:cs="Times New Roman" w:eastAsia="Times New Roman" w:hAnsi="Times New Roman"/>
                <w:sz w:val="18"/>
                <w:szCs w:val="18"/>
                <w:color w:val="auto"/>
                <w:w w:val="95"/>
              </w:rPr>
              <w:t xml:space="preserve"> T. C</w:t>
            </w:r>
            <w:r>
              <w:rPr>
                <w:rFonts w:ascii="Times New Roman" w:cs="Times New Roman" w:eastAsia="Times New Roman" w:hAnsi="Times New Roman"/>
                <w:sz w:val="14"/>
                <w:szCs w:val="14"/>
                <w:color w:val="auto"/>
                <w:w w:val="95"/>
              </w:rPr>
              <w:t>HAO</w:t>
            </w:r>
          </w:p>
        </w:tc>
      </w:tr>
      <w:tr>
        <w:trPr>
          <w:trHeight w:val="27"/>
        </w:trPr>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w w:val="98"/>
              </w:rPr>
              <w:t>John T. Chao</w:t>
            </w:r>
          </w:p>
        </w:tc>
      </w:tr>
      <w:tr>
        <w:trPr>
          <w:trHeight w:val="326"/>
        </w:trPr>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/S/</w:t>
            </w:r>
          </w:p>
        </w:tc>
        <w:tc>
          <w:tcPr>
            <w:tcW w:w="160" w:type="dxa"/>
            <w:vAlign w:val="bottom"/>
          </w:tcPr>
          <w:p>
            <w:pPr>
              <w:spacing w:after="0"/>
              <w:rPr>
                <w:sz w:val="24"/>
                <w:szCs w:val="24"/>
                <w:color w:val="auto"/>
              </w:rPr>
            </w:pPr>
          </w:p>
        </w:tc>
        <w:tc>
          <w:tcPr>
            <w:tcW w:w="25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7"/>
              </w:rPr>
              <w:t>R</w:t>
            </w:r>
            <w:r>
              <w:rPr>
                <w:rFonts w:ascii="Times New Roman" w:cs="Times New Roman" w:eastAsia="Times New Roman" w:hAnsi="Times New Roman"/>
                <w:sz w:val="14"/>
                <w:szCs w:val="14"/>
                <w:color w:val="auto"/>
                <w:w w:val="97"/>
              </w:rPr>
              <w:t>OGER</w:t>
            </w:r>
            <w:r>
              <w:rPr>
                <w:rFonts w:ascii="Times New Roman" w:cs="Times New Roman" w:eastAsia="Times New Roman" w:hAnsi="Times New Roman"/>
                <w:sz w:val="18"/>
                <w:szCs w:val="18"/>
                <w:color w:val="auto"/>
                <w:w w:val="97"/>
              </w:rPr>
              <w:t xml:space="preserve"> A. C</w:t>
            </w:r>
            <w:r>
              <w:rPr>
                <w:rFonts w:ascii="Times New Roman" w:cs="Times New Roman" w:eastAsia="Times New Roman" w:hAnsi="Times New Roman"/>
                <w:sz w:val="14"/>
                <w:szCs w:val="14"/>
                <w:color w:val="auto"/>
                <w:w w:val="97"/>
              </w:rPr>
              <w:t>REGG</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8"/>
              </w:rPr>
              <w:t>Roger A. Cregg</w:t>
            </w:r>
          </w:p>
        </w:tc>
      </w:tr>
      <w:tr>
        <w:trPr>
          <w:trHeight w:val="326"/>
        </w:trPr>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w w:val="98"/>
              </w:rPr>
              <w:t>M</w:t>
            </w:r>
            <w:r>
              <w:rPr>
                <w:rFonts w:ascii="Times New Roman" w:cs="Times New Roman" w:eastAsia="Times New Roman" w:hAnsi="Times New Roman"/>
                <w:sz w:val="14"/>
                <w:szCs w:val="14"/>
                <w:color w:val="auto"/>
                <w:w w:val="98"/>
              </w:rPr>
              <w:t>ICHAEL</w:t>
            </w:r>
            <w:r>
              <w:rPr>
                <w:rFonts w:ascii="Times New Roman" w:cs="Times New Roman" w:eastAsia="Times New Roman" w:hAnsi="Times New Roman"/>
                <w:sz w:val="18"/>
                <w:szCs w:val="18"/>
                <w:color w:val="auto"/>
                <w:w w:val="98"/>
              </w:rPr>
              <w:t xml:space="preserve"> J. G</w:t>
            </w:r>
            <w:r>
              <w:rPr>
                <w:rFonts w:ascii="Times New Roman" w:cs="Times New Roman" w:eastAsia="Times New Roman" w:hAnsi="Times New Roman"/>
                <w:sz w:val="14"/>
                <w:szCs w:val="14"/>
                <w:color w:val="auto"/>
                <w:w w:val="98"/>
              </w:rPr>
              <w:t>RAFF</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Michael J. Graff</w:t>
            </w:r>
          </w:p>
        </w:tc>
      </w:tr>
      <w:tr>
        <w:trPr>
          <w:trHeight w:val="326"/>
        </w:trPr>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7"/>
              </w:rPr>
              <w:t>K</w:t>
            </w:r>
            <w:r>
              <w:rPr>
                <w:rFonts w:ascii="Times New Roman" w:cs="Times New Roman" w:eastAsia="Times New Roman" w:hAnsi="Times New Roman"/>
                <w:sz w:val="14"/>
                <w:szCs w:val="14"/>
                <w:color w:val="auto"/>
                <w:w w:val="97"/>
              </w:rPr>
              <w:t>IMBERLY</w:t>
            </w:r>
            <w:r>
              <w:rPr>
                <w:rFonts w:ascii="Times New Roman" w:cs="Times New Roman" w:eastAsia="Times New Roman" w:hAnsi="Times New Roman"/>
                <w:sz w:val="18"/>
                <w:szCs w:val="18"/>
                <w:color w:val="auto"/>
                <w:w w:val="97"/>
              </w:rPr>
              <w:t xml:space="preserve"> S. L</w:t>
            </w:r>
            <w:r>
              <w:rPr>
                <w:rFonts w:ascii="Times New Roman" w:cs="Times New Roman" w:eastAsia="Times New Roman" w:hAnsi="Times New Roman"/>
                <w:sz w:val="14"/>
                <w:szCs w:val="14"/>
                <w:color w:val="auto"/>
                <w:w w:val="97"/>
              </w:rPr>
              <w:t>UBEL</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Kimberly S. Lubel</w:t>
            </w:r>
          </w:p>
        </w:tc>
      </w:tr>
      <w:tr>
        <w:trPr>
          <w:trHeight w:val="326"/>
        </w:trPr>
        <w:tc>
          <w:tcPr>
            <w:tcW w:w="15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w w:val="98"/>
              </w:rPr>
              <w:t>M</w:t>
            </w:r>
            <w:r>
              <w:rPr>
                <w:rFonts w:ascii="Times New Roman" w:cs="Times New Roman" w:eastAsia="Times New Roman" w:hAnsi="Times New Roman"/>
                <w:sz w:val="14"/>
                <w:szCs w:val="14"/>
                <w:color w:val="auto"/>
                <w:w w:val="98"/>
              </w:rPr>
              <w:t>ARK</w:t>
            </w:r>
            <w:r>
              <w:rPr>
                <w:rFonts w:ascii="Times New Roman" w:cs="Times New Roman" w:eastAsia="Times New Roman" w:hAnsi="Times New Roman"/>
                <w:sz w:val="18"/>
                <w:szCs w:val="18"/>
                <w:color w:val="auto"/>
                <w:w w:val="98"/>
              </w:rPr>
              <w:t xml:space="preserve"> A. M</w:t>
            </w:r>
            <w:r>
              <w:rPr>
                <w:rFonts w:ascii="Times New Roman" w:cs="Times New Roman" w:eastAsia="Times New Roman" w:hAnsi="Times New Roman"/>
                <w:sz w:val="14"/>
                <w:szCs w:val="14"/>
                <w:color w:val="auto"/>
                <w:w w:val="98"/>
              </w:rPr>
              <w:t>CCOLLUM</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Mark A. McCollum</w:t>
            </w:r>
          </w:p>
        </w:tc>
      </w:tr>
      <w:tr>
        <w:trPr>
          <w:trHeight w:val="326"/>
        </w:trPr>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w w:val="97"/>
              </w:rPr>
              <w:t>R</w:t>
            </w: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8"/>
                <w:szCs w:val="18"/>
                <w:color w:val="auto"/>
                <w:w w:val="97"/>
              </w:rPr>
              <w:t xml:space="preserve"> B</w:t>
            </w:r>
            <w:r>
              <w:rPr>
                <w:rFonts w:ascii="Times New Roman" w:cs="Times New Roman" w:eastAsia="Times New Roman" w:hAnsi="Times New Roman"/>
                <w:sz w:val="14"/>
                <w:szCs w:val="14"/>
                <w:color w:val="auto"/>
                <w:w w:val="97"/>
              </w:rPr>
              <w:t>RUCE</w:t>
            </w:r>
            <w:r>
              <w:rPr>
                <w:rFonts w:ascii="Times New Roman" w:cs="Times New Roman" w:eastAsia="Times New Roman" w:hAnsi="Times New Roman"/>
                <w:sz w:val="18"/>
                <w:szCs w:val="18"/>
                <w:color w:val="auto"/>
                <w:w w:val="97"/>
              </w:rPr>
              <w:t xml:space="preserve"> N</w:t>
            </w:r>
            <w:r>
              <w:rPr>
                <w:rFonts w:ascii="Times New Roman" w:cs="Times New Roman" w:eastAsia="Times New Roman" w:hAnsi="Times New Roman"/>
                <w:sz w:val="14"/>
                <w:szCs w:val="14"/>
                <w:color w:val="auto"/>
                <w:w w:val="97"/>
              </w:rPr>
              <w:t>ORTHCUTT</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R. Bruce Northcutt</w:t>
            </w:r>
          </w:p>
        </w:tc>
      </w:tr>
      <w:tr>
        <w:trPr>
          <w:trHeight w:val="326"/>
        </w:trPr>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7"/>
              </w:rPr>
              <w:t>C</w:t>
            </w:r>
            <w:r>
              <w:rPr>
                <w:rFonts w:ascii="Times New Roman" w:cs="Times New Roman" w:eastAsia="Times New Roman" w:hAnsi="Times New Roman"/>
                <w:sz w:val="14"/>
                <w:szCs w:val="14"/>
                <w:color w:val="auto"/>
                <w:w w:val="97"/>
              </w:rPr>
              <w:t>AROLYN</w:t>
            </w:r>
            <w:r>
              <w:rPr>
                <w:rFonts w:ascii="Times New Roman" w:cs="Times New Roman" w:eastAsia="Times New Roman" w:hAnsi="Times New Roman"/>
                <w:sz w:val="18"/>
                <w:szCs w:val="18"/>
                <w:color w:val="auto"/>
                <w:w w:val="97"/>
              </w:rPr>
              <w:t xml:space="preserve"> C. S</w:t>
            </w:r>
            <w:r>
              <w:rPr>
                <w:rFonts w:ascii="Times New Roman" w:cs="Times New Roman" w:eastAsia="Times New Roman" w:hAnsi="Times New Roman"/>
                <w:sz w:val="14"/>
                <w:szCs w:val="14"/>
                <w:color w:val="auto"/>
                <w:w w:val="97"/>
              </w:rPr>
              <w:t>ABAT</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0"/>
        </w:trPr>
        <w:tc>
          <w:tcPr>
            <w:tcW w:w="1520" w:type="dxa"/>
            <w:vAlign w:val="bottom"/>
          </w:tcPr>
          <w:p>
            <w:pPr>
              <w:spacing w:after="0"/>
              <w:rPr>
                <w:sz w:val="15"/>
                <w:szCs w:val="15"/>
                <w:color w:val="auto"/>
              </w:rPr>
            </w:pPr>
          </w:p>
        </w:tc>
        <w:tc>
          <w:tcPr>
            <w:tcW w:w="272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Carolyn C. Sabat</w:t>
            </w:r>
          </w:p>
        </w:tc>
      </w:tr>
      <w:tr>
        <w:trPr>
          <w:trHeight w:val="249"/>
        </w:trPr>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7"/>
              </w:rPr>
              <w:t>J</w:t>
            </w:r>
            <w:r>
              <w:rPr>
                <w:rFonts w:ascii="Times New Roman" w:cs="Times New Roman" w:eastAsia="Times New Roman" w:hAnsi="Times New Roman"/>
                <w:sz w:val="14"/>
                <w:szCs w:val="14"/>
                <w:color w:val="auto"/>
                <w:w w:val="97"/>
              </w:rPr>
              <w:t>EFFREY</w:t>
            </w:r>
            <w:r>
              <w:rPr>
                <w:rFonts w:ascii="Times New Roman" w:cs="Times New Roman" w:eastAsia="Times New Roman" w:hAnsi="Times New Roman"/>
                <w:sz w:val="18"/>
                <w:szCs w:val="18"/>
                <w:color w:val="auto"/>
                <w:w w:val="97"/>
              </w:rPr>
              <w:t xml:space="preserve"> W. S</w:t>
            </w:r>
            <w:r>
              <w:rPr>
                <w:rFonts w:ascii="Times New Roman" w:cs="Times New Roman" w:eastAsia="Times New Roman" w:hAnsi="Times New Roman"/>
                <w:sz w:val="14"/>
                <w:szCs w:val="14"/>
                <w:color w:val="auto"/>
                <w:w w:val="97"/>
              </w:rPr>
              <w:t>HEETS</w:t>
            </w: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35" w:lineRule="exact"/>
        <w:rPr>
          <w:sz w:val="20"/>
          <w:szCs w:val="20"/>
          <w:color w:val="auto"/>
        </w:rPr>
      </w:pPr>
    </w:p>
    <w:p>
      <w:pPr>
        <w:ind w:left="140" w:right="900" w:hanging="130"/>
        <w:spacing w:after="0" w:line="239"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140" w:lineRule="exact"/>
        <w:rPr>
          <w:sz w:val="20"/>
          <w:szCs w:val="20"/>
          <w:color w:val="auto"/>
        </w:rPr>
      </w:pPr>
    </w:p>
    <w:p>
      <w:pPr>
        <w:ind w:left="100" w:right="1060" w:hanging="87"/>
        <w:spacing w:after="0" w:line="298" w:lineRule="auto"/>
        <w:rPr>
          <w:sz w:val="20"/>
          <w:szCs w:val="20"/>
          <w:color w:val="auto"/>
        </w:rPr>
      </w:pPr>
      <w:r>
        <w:rPr>
          <w:rFonts w:ascii="Times New Roman" w:cs="Times New Roman" w:eastAsia="Times New Roman" w:hAnsi="Times New Roman"/>
          <w:sz w:val="16"/>
          <w:szCs w:val="16"/>
          <w:color w:val="auto"/>
        </w:rPr>
        <w:t>Executive Vice President and Chief Financial Officer (Principal Financial Officer)</w:t>
      </w:r>
    </w:p>
    <w:p>
      <w:pPr>
        <w:spacing w:after="0" w:line="96" w:lineRule="exact"/>
        <w:rPr>
          <w:sz w:val="20"/>
          <w:szCs w:val="20"/>
          <w:color w:val="auto"/>
        </w:rPr>
      </w:pPr>
    </w:p>
    <w:p>
      <w:pPr>
        <w:ind w:left="100" w:right="1100" w:hanging="87"/>
        <w:spacing w:after="0" w:line="239" w:lineRule="auto"/>
        <w:rPr>
          <w:sz w:val="20"/>
          <w:szCs w:val="20"/>
          <w:color w:val="auto"/>
        </w:rPr>
      </w:pPr>
      <w:r>
        <w:rPr>
          <w:rFonts w:ascii="Times New Roman" w:cs="Times New Roman" w:eastAsia="Times New Roman" w:hAnsi="Times New Roman"/>
          <w:sz w:val="18"/>
          <w:szCs w:val="18"/>
          <w:color w:val="auto"/>
        </w:rPr>
        <w:t>Vice President and Chief Accounting Officer (Principal Accounting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Chairman of the Board of Directors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pacing w:after="0" w:line="389" w:lineRule="exact"/>
        <w:rPr>
          <w:sz w:val="20"/>
          <w:szCs w:val="20"/>
          <w:color w:val="auto"/>
        </w:rPr>
      </w:pPr>
    </w:p>
    <w:p>
      <w:pPr>
        <w:sectPr>
          <w:pgSz w:w="11900" w:h="16838" w:orient="portrait"/>
          <w:cols w:equalWidth="0" w:num="3">
            <w:col w:w="4680" w:space="300"/>
            <w:col w:w="4260" w:space="720"/>
            <w:col w:w="1300"/>
          </w:cols>
          <w:pgMar w:left="320" w:top="118" w:right="319" w:bottom="1440" w:gutter="0" w:footer="0" w:header="0"/>
          <w:type w:val="continuous"/>
        </w:sectPr>
      </w:pPr>
    </w:p>
    <w:p>
      <w:pPr>
        <w:spacing w:after="0" w:line="118"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3"/>
          <w:szCs w:val="13"/>
          <w:b w:val="1"/>
          <w:bCs w:val="1"/>
          <w:color w:val="auto"/>
        </w:rPr>
        <w:t>Jeffrey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-103505</wp:posOffset>
            </wp:positionV>
            <wp:extent cx="26904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26, 2026</w:t>
      </w:r>
    </w:p>
    <w:p>
      <w:pPr>
        <w:spacing w:after="0" w:line="284" w:lineRule="exact"/>
        <w:rPr>
          <w:sz w:val="20"/>
          <w:szCs w:val="20"/>
          <w:color w:val="auto"/>
        </w:rPr>
      </w:pPr>
    </w:p>
    <w:p>
      <w:pPr>
        <w:sectPr>
          <w:pgSz w:w="11900" w:h="16838" w:orient="portrait"/>
          <w:cols w:equalWidth="0" w:num="2">
            <w:col w:w="4260" w:space="720"/>
            <w:col w:w="6280"/>
          </w:cols>
          <w:pgMar w:left="320" w:top="118" w:right="31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1260"/>
          </w:cols>
          <w:pgMar w:left="320" w:top="118" w:right="31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4.9</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200" w:lineRule="exact"/>
        <w:rPr>
          <w:sz w:val="20"/>
          <w:szCs w:val="20"/>
          <w:color w:val="auto"/>
        </w:rPr>
      </w:pPr>
    </w:p>
    <w:p>
      <w:pPr>
        <w:spacing w:after="0" w:line="24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5.550% Senior Notes due 2035</w:t>
      </w:r>
    </w:p>
    <w:p>
      <w:pPr>
        <w:spacing w:after="0" w:line="21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6.375% Senior Notes due 2055</w:t>
      </w:r>
    </w:p>
    <w:p>
      <w:pPr>
        <w:spacing w:after="0" w:line="21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2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Fifteenth Supplemental Indenture</w:t>
      </w:r>
    </w:p>
    <w:p>
      <w:pPr>
        <w:spacing w:after="0" w:line="2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Dated as of November 6, 2025</w:t>
      </w:r>
    </w:p>
    <w:p>
      <w:pPr>
        <w:spacing w:after="0" w:line="11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BANK OF NEW YORK MELLON TRUST COMPANY, N.A.</w:t>
      </w:r>
    </w:p>
    <w:p>
      <w:pPr>
        <w:spacing w:after="0" w:line="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Trustee</w:t>
      </w:r>
    </w:p>
    <w:p>
      <w:pPr>
        <w:sectPr>
          <w:pgSz w:w="11900" w:h="16838" w:orient="portrait"/>
          <w:cols w:equalWidth="0" w:num="1">
            <w:col w:w="10120"/>
          </w:cols>
          <w:pgMar w:left="1440" w:top="121"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76"/>
        </w:trPr>
        <w:tc>
          <w:tcPr>
            <w:tcW w:w="298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TABLE OF CONTENTS</w:t>
            </w:r>
          </w:p>
        </w:tc>
        <w:tc>
          <w:tcPr>
            <w:tcW w:w="78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10"/>
        </w:trPr>
        <w:tc>
          <w:tcPr>
            <w:tcW w:w="29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2"/>
              </w:rPr>
              <w:t>Page</w:t>
            </w:r>
          </w:p>
        </w:tc>
      </w:tr>
      <w:tr>
        <w:trPr>
          <w:trHeight w:val="295"/>
        </w:trPr>
        <w:tc>
          <w:tcPr>
            <w:tcW w:w="1084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Section 4.01.  Restrictions on Secured Debt.</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63"/>
        </w:trPr>
        <w:tc>
          <w:tcPr>
            <w:tcW w:w="1084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Section 4.02.  Limitations on Sale and Leaseback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76"/>
        </w:trPr>
        <w:tc>
          <w:tcPr>
            <w:tcW w:w="1084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Section 4.03.  Change of Control Triggering Event.</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697"/>
        </w:trPr>
        <w:tc>
          <w:tcPr>
            <w:tcW w:w="2980" w:type="dxa"/>
            <w:vAlign w:val="bottom"/>
          </w:tcPr>
          <w:p>
            <w:pPr>
              <w:spacing w:after="0"/>
              <w:rPr>
                <w:sz w:val="20"/>
                <w:szCs w:val="20"/>
                <w:color w:val="auto"/>
              </w:rPr>
            </w:pPr>
            <w:r>
              <w:rPr>
                <w:rFonts w:ascii="Times New Roman" w:cs="Times New Roman" w:eastAsia="Times New Roman" w:hAnsi="Times New Roman"/>
                <w:sz w:val="21"/>
                <w:szCs w:val="21"/>
                <w:color w:val="auto"/>
              </w:rPr>
              <w:t>EXHIBIT A  Form of 2035 Note</w:t>
            </w:r>
          </w:p>
        </w:tc>
        <w:tc>
          <w:tcPr>
            <w:tcW w:w="7860" w:type="dxa"/>
            <w:vAlign w:val="bottom"/>
          </w:tcPr>
          <w:p>
            <w:pPr>
              <w:jc w:val="right"/>
              <w:ind w:right="7335"/>
              <w:spacing w:after="0"/>
              <w:rPr>
                <w:sz w:val="20"/>
                <w:szCs w:val="20"/>
                <w:color w:val="auto"/>
              </w:rPr>
            </w:pPr>
            <w:r>
              <w:rPr>
                <w:rFonts w:ascii="Times New Roman" w:cs="Times New Roman" w:eastAsia="Times New Roman" w:hAnsi="Times New Roman"/>
                <w:sz w:val="21"/>
                <w:szCs w:val="21"/>
                <w:color w:val="auto"/>
              </w:rPr>
              <w:t>A-1</w:t>
            </w:r>
          </w:p>
        </w:tc>
        <w:tc>
          <w:tcPr>
            <w:tcW w:w="400" w:type="dxa"/>
            <w:vAlign w:val="bottom"/>
          </w:tcPr>
          <w:p>
            <w:pPr>
              <w:spacing w:after="0"/>
              <w:rPr>
                <w:sz w:val="24"/>
                <w:szCs w:val="24"/>
                <w:color w:val="auto"/>
              </w:rPr>
            </w:pPr>
          </w:p>
        </w:tc>
      </w:tr>
      <w:tr>
        <w:trPr>
          <w:trHeight w:val="355"/>
        </w:trPr>
        <w:tc>
          <w:tcPr>
            <w:tcW w:w="2980" w:type="dxa"/>
            <w:vAlign w:val="bottom"/>
          </w:tcPr>
          <w:p>
            <w:pPr>
              <w:spacing w:after="0"/>
              <w:rPr>
                <w:sz w:val="20"/>
                <w:szCs w:val="20"/>
                <w:color w:val="auto"/>
              </w:rPr>
            </w:pPr>
            <w:r>
              <w:rPr>
                <w:rFonts w:ascii="Times New Roman" w:cs="Times New Roman" w:eastAsia="Times New Roman" w:hAnsi="Times New Roman"/>
                <w:sz w:val="21"/>
                <w:szCs w:val="21"/>
                <w:color w:val="auto"/>
              </w:rPr>
              <w:t>EXHIBIT B  Form of 2055 Note</w:t>
            </w:r>
          </w:p>
        </w:tc>
        <w:tc>
          <w:tcPr>
            <w:tcW w:w="7860" w:type="dxa"/>
            <w:vAlign w:val="bottom"/>
          </w:tcPr>
          <w:p>
            <w:pPr>
              <w:jc w:val="right"/>
              <w:ind w:right="7335"/>
              <w:spacing w:after="0"/>
              <w:rPr>
                <w:sz w:val="20"/>
                <w:szCs w:val="20"/>
                <w:color w:val="auto"/>
              </w:rPr>
            </w:pPr>
            <w:r>
              <w:rPr>
                <w:rFonts w:ascii="Times New Roman" w:cs="Times New Roman" w:eastAsia="Times New Roman" w:hAnsi="Times New Roman"/>
                <w:sz w:val="21"/>
                <w:szCs w:val="21"/>
                <w:color w:val="auto"/>
              </w:rPr>
              <w:t>B-1</w:t>
            </w: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388" w:right="339" w:bottom="1440" w:gutter="0" w:footer="0" w:header="0"/>
        </w:sectPr>
      </w:pPr>
    </w:p>
    <w:bookmarkStart w:id="119" w:name="page120"/>
    <w:bookmarkEnd w:id="119"/>
    <w:p>
      <w:pPr>
        <w:jc w:val="both"/>
        <w:ind w:firstLine="1263"/>
        <w:spacing w:after="0" w:line="264" w:lineRule="auto"/>
        <w:rPr>
          <w:sz w:val="20"/>
          <w:szCs w:val="20"/>
          <w:color w:val="auto"/>
        </w:rPr>
      </w:pPr>
      <w:r>
        <w:rPr>
          <w:rFonts w:ascii="Times New Roman" w:cs="Times New Roman" w:eastAsia="Times New Roman" w:hAnsi="Times New Roman"/>
          <w:sz w:val="21"/>
          <w:szCs w:val="21"/>
          <w:color w:val="auto"/>
        </w:rPr>
        <w:t>FIFTEENTH SUPPLEMENTAL INDENTURE dated as of November 6, 2025 (this “</w:t>
      </w:r>
      <w:r>
        <w:rPr>
          <w:rFonts w:ascii="Times New Roman" w:cs="Times New Roman" w:eastAsia="Times New Roman" w:hAnsi="Times New Roman"/>
          <w:sz w:val="21"/>
          <w:szCs w:val="21"/>
          <w:u w:val="single" w:color="auto"/>
          <w:color w:val="auto"/>
        </w:rPr>
        <w:t>Supplemental Indenture</w:t>
      </w:r>
      <w:r>
        <w:rPr>
          <w:rFonts w:ascii="Times New Roman" w:cs="Times New Roman" w:eastAsia="Times New Roman" w:hAnsi="Times New Roman"/>
          <w:sz w:val="21"/>
          <w:szCs w:val="21"/>
          <w:color w:val="auto"/>
        </w:rPr>
        <w:t>”), to the Indenture dated as of January 1, 2006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by and among WESTLAKE CORPORATION,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each of the potential guarantors named therein and THE BANK OF NEW YORK MELLON TRUST COMPANY, N.A. (as successor to JPMorgan Chase Bank, National Association), as trustee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Each party agrees as follows for the benefit of the other parties and for the equal and ratable benefit of the Holders (as defined herein):</w:t>
      </w:r>
    </w:p>
    <w:p>
      <w:pPr>
        <w:spacing w:after="0" w:line="143" w:lineRule="exact"/>
        <w:rPr>
          <w:sz w:val="20"/>
          <w:szCs w:val="20"/>
          <w:color w:val="auto"/>
        </w:rPr>
      </w:pPr>
    </w:p>
    <w:p>
      <w:pPr>
        <w:jc w:val="both"/>
        <w:ind w:firstLine="1263"/>
        <w:spacing w:after="0" w:line="271" w:lineRule="auto"/>
        <w:rPr>
          <w:sz w:val="20"/>
          <w:szCs w:val="20"/>
          <w:color w:val="auto"/>
        </w:rPr>
      </w:pPr>
      <w:r>
        <w:rPr>
          <w:rFonts w:ascii="Times New Roman" w:cs="Times New Roman" w:eastAsia="Times New Roman" w:hAnsi="Times New Roman"/>
          <w:sz w:val="21"/>
          <w:szCs w:val="21"/>
          <w:color w:val="auto"/>
        </w:rPr>
        <w:t>WHEREAS, the Company and the Trustee have duly authorized the execution and delivery of the Indenture to provide for the issuance from time to time of the Company’s debentures, notes, bonds or other evidences of indebtedness to be issued in one or more series as in the Indenture provided (as defined therein,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firstLine="1263"/>
        <w:spacing w:after="0" w:line="256" w:lineRule="auto"/>
        <w:rPr>
          <w:sz w:val="20"/>
          <w:szCs w:val="20"/>
          <w:color w:val="auto"/>
        </w:rPr>
      </w:pPr>
      <w:r>
        <w:rPr>
          <w:rFonts w:ascii="Times New Roman" w:cs="Times New Roman" w:eastAsia="Times New Roman" w:hAnsi="Times New Roman"/>
          <w:sz w:val="21"/>
          <w:szCs w:val="21"/>
          <w:color w:val="auto"/>
        </w:rPr>
        <w:t xml:space="preserve">WHEREAS, the Company desires and has requested the Trustee to join it in the execution and delivery of this Supplemental Indenture in order to establish and provide for the issuance by the Company of two series of Securities designated as its 5.550% Senior Notes due 2035,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2035 Notes</w:t>
      </w:r>
      <w:r>
        <w:rPr>
          <w:rFonts w:ascii="Times New Roman" w:cs="Times New Roman" w:eastAsia="Times New Roman" w:hAnsi="Times New Roman"/>
          <w:sz w:val="21"/>
          <w:szCs w:val="21"/>
          <w:color w:val="auto"/>
        </w:rPr>
        <w:t xml:space="preserve">”) and 6.375% Senior Notes due 2055,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2055 Notes</w:t>
      </w:r>
      <w:r>
        <w:rPr>
          <w:rFonts w:ascii="Times New Roman" w:cs="Times New Roman" w:eastAsia="Times New Roman" w:hAnsi="Times New Roman"/>
          <w:sz w:val="21"/>
          <w:szCs w:val="21"/>
          <w:color w:val="auto"/>
        </w:rPr>
        <w:t>” and, together with the 2035 Notes,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in each case on the terms set forth herein;</w:t>
      </w:r>
    </w:p>
    <w:p>
      <w:pPr>
        <w:spacing w:after="0" w:line="18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WHEREAS, Section 2.01 of the Indenture provides that a supplemental indenture may be entered into by the Company and the Trustee for such purpose provided certain conditions are met;</w:t>
      </w:r>
    </w:p>
    <w:p>
      <w:pPr>
        <w:spacing w:after="0" w:line="143"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WHEREAS, the conditions set forth in the Indenture for the execution and delivery of this Supplemental Indenture have been complied with; and</w:t>
      </w:r>
    </w:p>
    <w:p>
      <w:pPr>
        <w:spacing w:after="0" w:line="143" w:lineRule="exact"/>
        <w:rPr>
          <w:sz w:val="20"/>
          <w:szCs w:val="20"/>
          <w:color w:val="auto"/>
        </w:rPr>
      </w:pPr>
    </w:p>
    <w:p>
      <w:pPr>
        <w:jc w:val="both"/>
        <w:ind w:firstLine="1263"/>
        <w:spacing w:after="0" w:line="295" w:lineRule="auto"/>
        <w:rPr>
          <w:sz w:val="20"/>
          <w:szCs w:val="20"/>
          <w:color w:val="auto"/>
        </w:rPr>
      </w:pPr>
      <w:r>
        <w:rPr>
          <w:rFonts w:ascii="Times New Roman" w:cs="Times New Roman" w:eastAsia="Times New Roman" w:hAnsi="Times New Roman"/>
          <w:sz w:val="21"/>
          <w:szCs w:val="21"/>
          <w:color w:val="auto"/>
        </w:rPr>
        <w:t>WHEREAS, all things necessary to make this Supplemental Indenture a valid agreement of the Company and the Trustee, in accordance with its terms, and a valid amendment of, and supplement to, the Indenture have been done;</w:t>
      </w:r>
    </w:p>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NOW, THEREFORE:</w:t>
      </w:r>
    </w:p>
    <w:p>
      <w:pPr>
        <w:spacing w:after="0" w:line="219" w:lineRule="exact"/>
        <w:rPr>
          <w:sz w:val="20"/>
          <w:szCs w:val="20"/>
          <w:color w:val="auto"/>
        </w:rPr>
      </w:pPr>
    </w:p>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In consideration of the premises and the purchase and acceptance of the Notes by the Holders thereof, the Company covenants and agrees with the Trustee, for the equal and ratable benefit of the Holders, that the Indenture is supplemented and amended, to the extent expressed herein, as follows:</w:t>
      </w:r>
    </w:p>
    <w:p>
      <w:pPr>
        <w:spacing w:after="0" w:line="1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1</w:t>
      </w:r>
    </w:p>
    <w:p>
      <w:pPr>
        <w:spacing w:after="0" w:line="17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Scope of Supplemental Indenture; General</w:t>
      </w:r>
    </w:p>
    <w:p>
      <w:pPr>
        <w:spacing w:after="0" w:line="210" w:lineRule="exact"/>
        <w:rPr>
          <w:sz w:val="20"/>
          <w:szCs w:val="20"/>
          <w:color w:val="auto"/>
        </w:rPr>
      </w:pPr>
    </w:p>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The changes, modifications and supplements to the Indenture effected by this Supplemental Indenture shall be applicable only with respect to, and govern the terms of, the Notes, which shall not be limited in aggregate principal amount, and shall not apply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8" w:right="339" w:bottom="1440" w:gutter="0" w:footer="0" w:header="0"/>
        </w:sectPr>
      </w:pPr>
    </w:p>
    <w:bookmarkStart w:id="120" w:name="page121"/>
    <w:bookmarkEnd w:id="120"/>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Securities that may be issued under the Indenture unless a supplemental indenture with respect to such other Securities specifically incorporates such changes, modifications and supplements. Pursuant to this Supplemental Indenture, there is hereby created and designated two series of Securities under the Indenture entitled “5.550% Senior Notes due 2035” and “6.375% Senior Notes due 2055.” The 2035 Notes shall be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which is hereby incorporated into this Supplemental Indenture by reference. The 2055 Notes shall be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which is hereby incorporated into this Supplemental Indenture by reference.</w:t>
      </w:r>
    </w:p>
    <w:p>
      <w:pPr>
        <w:spacing w:after="0" w:line="14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2</w:t>
      </w:r>
    </w:p>
    <w:p>
      <w:pPr>
        <w:spacing w:after="0" w:line="1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Certain Definitions</w:t>
      </w:r>
    </w:p>
    <w:p>
      <w:pPr>
        <w:spacing w:after="0" w:line="210" w:lineRule="exact"/>
        <w:rPr>
          <w:sz w:val="20"/>
          <w:szCs w:val="20"/>
          <w:color w:val="auto"/>
        </w:rPr>
      </w:pPr>
    </w:p>
    <w:p>
      <w:pPr>
        <w:jc w:val="both"/>
        <w:ind w:firstLine="1263"/>
        <w:spacing w:after="0" w:line="271" w:lineRule="auto"/>
        <w:rPr>
          <w:sz w:val="20"/>
          <w:szCs w:val="20"/>
          <w:color w:val="auto"/>
        </w:rPr>
      </w:pPr>
      <w:r>
        <w:rPr>
          <w:rFonts w:ascii="Times New Roman" w:cs="Times New Roman" w:eastAsia="Times New Roman" w:hAnsi="Times New Roman"/>
          <w:sz w:val="21"/>
          <w:szCs w:val="21"/>
          <w:color w:val="auto"/>
        </w:rPr>
        <w:t>The following terms have the meanings set forth below in this Supplemental Indenture. Capitalized terms used but not defined herein have the meanings ascribed to such terms in the Indenture. To the extent terms defined herein differ from the Indenture the terms defined herein will govern.</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2035 Notes</w:t>
      </w:r>
      <w:r>
        <w:rPr>
          <w:rFonts w:ascii="Times New Roman" w:cs="Times New Roman" w:eastAsia="Times New Roman" w:hAnsi="Times New Roman"/>
          <w:sz w:val="21"/>
          <w:szCs w:val="21"/>
          <w:color w:val="auto"/>
        </w:rPr>
        <w:t>” has the meaning provided in the Recitals.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2055 Notes</w:t>
      </w:r>
      <w:r>
        <w:rPr>
          <w:rFonts w:ascii="Times New Roman" w:cs="Times New Roman" w:eastAsia="Times New Roman" w:hAnsi="Times New Roman"/>
          <w:sz w:val="21"/>
          <w:szCs w:val="21"/>
          <w:color w:val="auto"/>
        </w:rPr>
        <w:t>” has the meaning provided in the Recitals.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2035 Par Call Date</w:t>
      </w:r>
      <w:r>
        <w:rPr>
          <w:rFonts w:ascii="Times New Roman" w:cs="Times New Roman" w:eastAsia="Times New Roman" w:hAnsi="Times New Roman"/>
          <w:sz w:val="21"/>
          <w:szCs w:val="21"/>
          <w:color w:val="auto"/>
        </w:rPr>
        <w:t>” has the meaning provided in new Section 3.12(b)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2055 Par Call Date</w:t>
      </w:r>
      <w:r>
        <w:rPr>
          <w:rFonts w:ascii="Times New Roman" w:cs="Times New Roman" w:eastAsia="Times New Roman" w:hAnsi="Times New Roman"/>
          <w:sz w:val="21"/>
          <w:szCs w:val="21"/>
          <w:color w:val="auto"/>
        </w:rPr>
        <w:t>” has the meaning provided in new Section 3.12(b)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FATCA Law</w:t>
      </w:r>
      <w:r>
        <w:rPr>
          <w:rFonts w:ascii="Times New Roman" w:cs="Times New Roman" w:eastAsia="Times New Roman" w:hAnsi="Times New Roman"/>
          <w:sz w:val="21"/>
          <w:szCs w:val="21"/>
          <w:color w:val="auto"/>
        </w:rPr>
        <w:t>” has the meaning provided in Section 6.14.</w:t>
      </w:r>
    </w:p>
    <w:p>
      <w:pPr>
        <w:spacing w:after="0" w:line="232" w:lineRule="exact"/>
        <w:rPr>
          <w:sz w:val="20"/>
          <w:szCs w:val="20"/>
          <w:color w:val="auto"/>
        </w:rPr>
      </w:pPr>
    </w:p>
    <w:p>
      <w:pPr>
        <w:jc w:val="both"/>
        <w:ind w:firstLine="126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Attributable Debt</w:t>
      </w:r>
      <w:r>
        <w:rPr>
          <w:rFonts w:ascii="Times New Roman" w:cs="Times New Roman" w:eastAsia="Times New Roman" w:hAnsi="Times New Roman"/>
          <w:sz w:val="21"/>
          <w:szCs w:val="21"/>
          <w:color w:val="auto"/>
        </w:rPr>
        <w:t>” means, as to any lease in respect of a Sale and Leaseback Transaction under which any Person is at the time liable, at any date as of which the amount thereof is to be determined, the total net amount of rent required to be paid by such Person under such lease during the remaining term thereof (or, if earlier, the first date upon which such lease may be terminated without penalty), discounted from the respective due dates thereof to such date at the weighted average rate per annum borne by the Notes, compounded annually. The net amount of rent required to be paid under any such lease for any such period shall be the aggregate amount of the rent payable by the lessee with respect to such period after excluding amounts required to be paid on account of maintenance and repairs, insurance, taxes, assessments, water rates and similar charges. Unless the Company elects to calculate the total amount of rent required to be paid through the first date upon which such lease may be terminated without penalty (if such a provision exists),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7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Below Investment Grade Rating Event</w:t>
      </w:r>
      <w:r>
        <w:rPr>
          <w:rFonts w:ascii="Times New Roman" w:cs="Times New Roman" w:eastAsia="Times New Roman" w:hAnsi="Times New Roman"/>
          <w:sz w:val="21"/>
          <w:szCs w:val="21"/>
          <w:color w:val="auto"/>
        </w:rPr>
        <w:t>” with respect to the Notes of either series means the rating on the Notes of such series is lowered and as a result the Notes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8" w:right="339" w:bottom="1440" w:gutter="0" w:footer="0" w:header="0"/>
        </w:sectPr>
      </w:pPr>
    </w:p>
    <w:bookmarkStart w:id="121" w:name="page122"/>
    <w:bookmarkEnd w:id="121"/>
    <w:p>
      <w:pPr>
        <w:jc w:val="both"/>
        <w:spacing w:after="0" w:line="253" w:lineRule="auto"/>
        <w:rPr>
          <w:sz w:val="20"/>
          <w:szCs w:val="20"/>
          <w:color w:val="auto"/>
        </w:rPr>
      </w:pPr>
      <w:r>
        <w:rPr>
          <w:rFonts w:ascii="Times New Roman" w:cs="Times New Roman" w:eastAsia="Times New Roman" w:hAnsi="Times New Roman"/>
          <w:sz w:val="21"/>
          <w:szCs w:val="21"/>
          <w:color w:val="auto"/>
        </w:rPr>
        <w:t>cease to be rated Investment Grade by each of the Rating Agencies on any date during the period (the “</w:t>
      </w:r>
      <w:r>
        <w:rPr>
          <w:rFonts w:ascii="Times New Roman" w:cs="Times New Roman" w:eastAsia="Times New Roman" w:hAnsi="Times New Roman"/>
          <w:sz w:val="21"/>
          <w:szCs w:val="21"/>
          <w:u w:val="single" w:color="auto"/>
          <w:color w:val="auto"/>
        </w:rPr>
        <w:t>Trigger Period</w:t>
      </w:r>
      <w:r>
        <w:rPr>
          <w:rFonts w:ascii="Times New Roman" w:cs="Times New Roman" w:eastAsia="Times New Roman" w:hAnsi="Times New Roman"/>
          <w:sz w:val="21"/>
          <w:szCs w:val="21"/>
          <w:color w:val="auto"/>
        </w:rPr>
        <w:t>”) commencing on the earlier of (a) the occurrence of a Change of Control and (b) the first public announcement by the Company of any Change of Control (or pending Change of Control) and ending 60 days following the consummation of such Change of Control (which Trigger Period will be extended if the rating of the Notes of such series is under publicly announced consideration for possible downgrade by any Rating Agency on such 60th day, such extension to last with respect to each Rating Agency until the date on which such Rating Agency considering such possible downgrade either (x) rates the Notes of such series below Investment Grade or (y) publicly announces that it is no longer considering the Notes of such series for possible downgrade; provided that no such extension will occur if on such 60th day the Notes of such series are rated Investment Grade not subject to review for possible downgrade by any Rating Agency); provided that a rating event will not be deemed to have occurred in respect of a particular Change of Control (and thus will not be deemed a Below Investment Grade Rating Event for purposes of the definition of Change of Control Triggering Event contained in this Article Two) if each Rating Agency making the reduction in rating does not publicly announce or confirm or inform the Trustee in writing at the Company’s request that the reduction was the result, in whole or in part, of any event or circumstance comprised of or arising as a result of, or in respect of, the Change of Control (whether or not the applicable Change of Control has occurred at the time of the Below Investment Grade Rating Event). If any Rating Agency withdraws its rating on the Notes of such series or otherwise ceases to provide a rating on the Notes of such series on any day during the Trigger Period for any reason and the Company has not selected a replacement Rating Agency pursuant to the terms of this Supplemental Indenture, the rating of such Rating Agency shall be deemed to be rated below Investment Grade on such day.</w:t>
      </w:r>
    </w:p>
    <w:p>
      <w:pPr>
        <w:spacing w:after="0" w:line="173" w:lineRule="exact"/>
        <w:rPr>
          <w:sz w:val="20"/>
          <w:szCs w:val="20"/>
          <w:color w:val="auto"/>
        </w:rPr>
      </w:pPr>
    </w:p>
    <w:p>
      <w:pPr>
        <w:jc w:val="both"/>
        <w:ind w:firstLine="1263"/>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w:t>
      </w:r>
      <w:r>
        <w:rPr>
          <w:rFonts w:ascii="Times New Roman" w:cs="Times New Roman" w:eastAsia="Times New Roman" w:hAnsi="Times New Roman"/>
          <w:sz w:val="21"/>
          <w:szCs w:val="21"/>
          <w:color w:val="auto"/>
        </w:rPr>
        <w:t>” has the meaning assigned to such term in Rule 13d-3 and Rule 13d-5 under the Exchange Act, except that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66" w:lineRule="exact"/>
        <w:rPr>
          <w:sz w:val="20"/>
          <w:szCs w:val="20"/>
          <w:color w:val="auto"/>
        </w:rPr>
      </w:pPr>
    </w:p>
    <w:p>
      <w:pPr>
        <w:jc w:val="both"/>
        <w:ind w:firstLine="1263"/>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that is not a Saturday, a Sunday or a day on which banking institutions in any of New York, New York, Houston, Texas or a place of payment on the Notes is authorized or obligated by law, regulation or executive order to remain closed.</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Stock</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means:</w:t>
      </w:r>
    </w:p>
    <w:p>
      <w:pPr>
        <w:spacing w:after="0" w:line="221" w:lineRule="exact"/>
        <w:rPr>
          <w:sz w:val="20"/>
          <w:szCs w:val="20"/>
          <w:color w:val="auto"/>
        </w:rPr>
      </w:pPr>
    </w:p>
    <w:p>
      <w:pPr>
        <w:ind w:left="1720" w:hanging="452"/>
        <w:spacing w:after="0"/>
        <w:tabs>
          <w:tab w:leader="none" w:pos="17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corporation, capital stock;</w:t>
      </w:r>
    </w:p>
    <w:p>
      <w:pPr>
        <w:spacing w:after="0" w:line="219" w:lineRule="exact"/>
        <w:rPr>
          <w:rFonts w:ascii="Times New Roman" w:cs="Times New Roman" w:eastAsia="Times New Roman" w:hAnsi="Times New Roman"/>
          <w:sz w:val="21"/>
          <w:szCs w:val="21"/>
          <w:color w:val="auto"/>
        </w:rPr>
      </w:pPr>
    </w:p>
    <w:p>
      <w:pPr>
        <w:ind w:left="640" w:firstLine="628"/>
        <w:spacing w:after="0" w:line="282" w:lineRule="auto"/>
        <w:tabs>
          <w:tab w:leader="none" w:pos="185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association or business entity, any and all shares, interests, participations, rights or other equivalents (however designated) of capital stock;</w:t>
      </w:r>
    </w:p>
    <w:p>
      <w:pPr>
        <w:spacing w:after="0" w:line="143" w:lineRule="exact"/>
        <w:rPr>
          <w:rFonts w:ascii="Times New Roman" w:cs="Times New Roman" w:eastAsia="Times New Roman" w:hAnsi="Times New Roman"/>
          <w:sz w:val="21"/>
          <w:szCs w:val="21"/>
          <w:color w:val="auto"/>
        </w:rPr>
      </w:pPr>
    </w:p>
    <w:p>
      <w:pPr>
        <w:ind w:left="640" w:firstLine="628"/>
        <w:spacing w:after="0" w:line="295" w:lineRule="auto"/>
        <w:tabs>
          <w:tab w:leader="none" w:pos="180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partnership or limited liability company, partnership interests (whether general or limited) or membership interests,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8" w:right="339" w:bottom="1440" w:gutter="0" w:footer="0" w:header="0"/>
        </w:sectPr>
      </w:pPr>
    </w:p>
    <w:bookmarkStart w:id="122" w:name="page123"/>
    <w:bookmarkEnd w:id="122"/>
    <w:p>
      <w:pPr>
        <w:jc w:val="both"/>
        <w:ind w:left="-220" w:firstLine="1268"/>
        <w:spacing w:after="0" w:line="265" w:lineRule="auto"/>
        <w:tabs>
          <w:tab w:leader="none" w:pos="150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the occurrence of any of the following after the date of this Supplemental Indenture:</w:t>
      </w:r>
    </w:p>
    <w:p>
      <w:pPr>
        <w:spacing w:after="0" w:line="219" w:lineRule="exact"/>
        <w:rPr>
          <w:sz w:val="20"/>
          <w:szCs w:val="20"/>
          <w:color w:val="auto"/>
        </w:rPr>
      </w:pPr>
    </w:p>
    <w:p>
      <w:pPr>
        <w:jc w:val="both"/>
        <w:ind w:left="-220" w:firstLine="1268"/>
        <w:spacing w:after="0" w:line="259" w:lineRule="auto"/>
        <w:tabs>
          <w:tab w:leader="none" w:pos="16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or indirect sale, lease, transfer, conveyance or other disposition (other than by way of merger or consolidation), in one or a series of related transactions, of all or substantially all of the assets of the Company and the Subsidiaries taken as a whole to any “person” or “group” (as those terms are used in Section 13(d)(3) of the Exchange Act) other than to the Company or a Subsidiary;</w:t>
      </w:r>
    </w:p>
    <w:p>
      <w:pPr>
        <w:spacing w:after="0" w:line="181" w:lineRule="exact"/>
        <w:rPr>
          <w:rFonts w:ascii="Times New Roman" w:cs="Times New Roman" w:eastAsia="Times New Roman" w:hAnsi="Times New Roman"/>
          <w:sz w:val="21"/>
          <w:szCs w:val="21"/>
          <w:color w:val="auto"/>
        </w:rPr>
      </w:pPr>
    </w:p>
    <w:p>
      <w:pPr>
        <w:jc w:val="both"/>
        <w:ind w:left="-220" w:firstLine="1268"/>
        <w:spacing w:after="0" w:line="256" w:lineRule="auto"/>
        <w:tabs>
          <w:tab w:leader="none" w:pos="155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(including, without limitation, any merger or consolidation) the result of which is that any “person” or “group” (as those terms are used in Section 13(d)(3) of the Exchange Act, it being agreed that an employee of the Company or any Subsidiary for whom shares are 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 shares are held by a trustee under said plan) becomes the ultimate Beneficial Owner, directly or indirectly, of Voting Stock of the Company representing more than 50% of the voting power of the outstanding Voting Stock of the Company;</w:t>
      </w:r>
    </w:p>
    <w:p>
      <w:pPr>
        <w:spacing w:after="0" w:line="170" w:lineRule="exact"/>
        <w:rPr>
          <w:rFonts w:ascii="Times New Roman" w:cs="Times New Roman" w:eastAsia="Times New Roman" w:hAnsi="Times New Roman"/>
          <w:sz w:val="21"/>
          <w:szCs w:val="21"/>
          <w:color w:val="auto"/>
        </w:rPr>
      </w:pPr>
    </w:p>
    <w:p>
      <w:pPr>
        <w:jc w:val="both"/>
        <w:ind w:left="-220" w:firstLine="1268"/>
        <w:spacing w:after="0" w:line="257" w:lineRule="auto"/>
        <w:tabs>
          <w:tab w:leader="none" w:pos="152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consolidates with, or merges with or into, any Person, or any Person consolidates with, or merges with or into, the Company, in any such event pursuant to a transaction in which any of the outstanding Voting Stock of the Company or Voting Stock of such other Person is converted into or exchanged for cash, securities or other property, other than any such transaction where the Voting Stock of the Company outstanding immediately prior to such transaction constitutes, or is converted into or exchanged for, Voting Stock representing more than 50% of the voting power of the Voting Stock of the surviving Person or its parent immediately after giving effect to such transaction;</w:t>
      </w:r>
    </w:p>
    <w:p>
      <w:pPr>
        <w:spacing w:after="0" w:line="172" w:lineRule="exact"/>
        <w:rPr>
          <w:rFonts w:ascii="Times New Roman" w:cs="Times New Roman" w:eastAsia="Times New Roman" w:hAnsi="Times New Roman"/>
          <w:sz w:val="21"/>
          <w:szCs w:val="21"/>
          <w:color w:val="auto"/>
        </w:rPr>
      </w:pPr>
    </w:p>
    <w:p>
      <w:pPr>
        <w:jc w:val="both"/>
        <w:ind w:left="-220" w:firstLine="1268"/>
        <w:spacing w:after="0" w:line="257" w:lineRule="auto"/>
        <w:tabs>
          <w:tab w:leader="none" w:pos="152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24 consecutive calendar months, the majority of the members of the Board of Directors of the Company shall no longer be composed of individuals (a) who were members of the Board of Directors of the Company on the first day of such period or (b) whose election or nomination to the Board of Directors of the Company was approved by individuals referred to in clause (a) above constituting, at the time of such election or nomination, at least a majority of the Board of Directors of the Company or, if directors are nominated by a committee of the Board of Directors of the Company, constituting at the time of such nomination, at least a majority of such committee; or</w:t>
      </w:r>
    </w:p>
    <w:p>
      <w:pPr>
        <w:spacing w:after="0" w:line="172" w:lineRule="exact"/>
        <w:rPr>
          <w:rFonts w:ascii="Times New Roman" w:cs="Times New Roman" w:eastAsia="Times New Roman" w:hAnsi="Times New Roman"/>
          <w:sz w:val="21"/>
          <w:szCs w:val="21"/>
          <w:color w:val="auto"/>
        </w:rPr>
      </w:pPr>
    </w:p>
    <w:p>
      <w:pPr>
        <w:ind w:left="1500" w:hanging="452"/>
        <w:spacing w:after="0"/>
        <w:tabs>
          <w:tab w:leader="none" w:pos="15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 plan relating to the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20"/>
          </w:cols>
          <w:pgMar w:left="540" w:top="1388" w:right="339" w:bottom="1440" w:gutter="0" w:footer="0" w:header="0"/>
        </w:sectPr>
      </w:pPr>
    </w:p>
    <w:bookmarkStart w:id="123" w:name="page124"/>
    <w:bookmarkEnd w:id="123"/>
    <w:p>
      <w:pPr>
        <w:jc w:val="both"/>
        <w:ind w:firstLine="1263"/>
        <w:spacing w:after="0" w:line="264" w:lineRule="auto"/>
        <w:rPr>
          <w:sz w:val="20"/>
          <w:szCs w:val="20"/>
          <w:color w:val="auto"/>
        </w:rPr>
      </w:pPr>
      <w:r>
        <w:rPr>
          <w:rFonts w:ascii="Times New Roman" w:cs="Times New Roman" w:eastAsia="Times New Roman" w:hAnsi="Times New Roman"/>
          <w:sz w:val="21"/>
          <w:szCs w:val="21"/>
          <w:color w:val="auto"/>
        </w:rPr>
        <w:t>Notwithstanding the foregoing, a transaction will not be deemed to involve a Change of Control if (i) the Company becomes a direct or indirect wholly owned subsidiary of a holding company and (ii) the direct or indirect holders of the Voting Stock of such holding company immediately following that transaction are substantially the same as the holders of the Voting Stock in the Company immediately prior to that transaction.</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Offer</w:t>
      </w:r>
      <w:r>
        <w:rPr>
          <w:rFonts w:ascii="Times New Roman" w:cs="Times New Roman" w:eastAsia="Times New Roman" w:hAnsi="Times New Roman"/>
          <w:sz w:val="21"/>
          <w:szCs w:val="21"/>
          <w:color w:val="auto"/>
        </w:rPr>
        <w:t>” has the meaning provided in new Section 4.10(a)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Payment</w:t>
      </w:r>
      <w:r>
        <w:rPr>
          <w:rFonts w:ascii="Times New Roman" w:cs="Times New Roman" w:eastAsia="Times New Roman" w:hAnsi="Times New Roman"/>
          <w:sz w:val="21"/>
          <w:szCs w:val="21"/>
          <w:color w:val="auto"/>
        </w:rPr>
        <w:t>” has the meaning provided in new Section 4.10(a)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Payment Date</w:t>
      </w:r>
      <w:r>
        <w:rPr>
          <w:rFonts w:ascii="Times New Roman" w:cs="Times New Roman" w:eastAsia="Times New Roman" w:hAnsi="Times New Roman"/>
          <w:sz w:val="21"/>
          <w:szCs w:val="21"/>
          <w:color w:val="auto"/>
        </w:rPr>
        <w:t>” has the meaning provided in new Section 4.10(b) of the Indenture.</w:t>
      </w:r>
    </w:p>
    <w:p>
      <w:pPr>
        <w:spacing w:after="0" w:line="219" w:lineRule="exact"/>
        <w:rPr>
          <w:sz w:val="20"/>
          <w:szCs w:val="20"/>
          <w:color w:val="auto"/>
        </w:rPr>
      </w:pPr>
    </w:p>
    <w:p>
      <w:pPr>
        <w:jc w:val="both"/>
        <w:ind w:firstLine="1263"/>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Triggering Event</w:t>
      </w:r>
      <w:r>
        <w:rPr>
          <w:rFonts w:ascii="Times New Roman" w:cs="Times New Roman" w:eastAsia="Times New Roman" w:hAnsi="Times New Roman"/>
          <w:sz w:val="21"/>
          <w:szCs w:val="21"/>
          <w:color w:val="auto"/>
        </w:rPr>
        <w:t>” with respect to the Notes of either series means the occurrence of both a Change of Control and a Below Investment Grade Rating Event. Notwithstanding the foregoing, no Change of Control Triggering Event will be deemed to have occurred in connection with any particular Change of Control unless and until such Change of Control has actually been consummated.</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the meaning provided in the Indenture.</w:t>
      </w:r>
    </w:p>
    <w:p>
      <w:pPr>
        <w:spacing w:after="0" w:line="219" w:lineRule="exact"/>
        <w:rPr>
          <w:sz w:val="20"/>
          <w:szCs w:val="20"/>
          <w:color w:val="auto"/>
        </w:rPr>
      </w:pPr>
    </w:p>
    <w:p>
      <w:pPr>
        <w:jc w:val="both"/>
        <w:ind w:firstLine="1263"/>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Tangible Assets</w:t>
      </w:r>
      <w:r>
        <w:rPr>
          <w:rFonts w:ascii="Times New Roman" w:cs="Times New Roman" w:eastAsia="Times New Roman" w:hAnsi="Times New Roman"/>
          <w:sz w:val="21"/>
          <w:szCs w:val="21"/>
          <w:color w:val="auto"/>
        </w:rPr>
        <w:t>” means the aggregate amount of assets (less operating leases, applicable reserves and other properly deductible items) after deducting therefrom (a) all current liabilities, except for (i) notes and loans payable, (ii) current maturities of long-term debt and (iii) current maturities of obligations under finance leases and operating leases and (b) all goodwill, trade names, trademarks, patents, unamortized debt discount and expense, turnaround costs and other like intangibles, all as set forth on the most recent balance sheet of the Company and its consolidated Subsidiaries and computed in accordance with GAAP. Deferred income taxes, deferred investment tax credit or other similar items, as calculated in accordance with GAAP, will not be considered as a liability or as a deduction from or adjustment to total assets.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has the meaning provided in new Section 4.08 of the Indenture.</w:t>
      </w:r>
    </w:p>
    <w:p>
      <w:pPr>
        <w:spacing w:after="0" w:line="219" w:lineRule="exact"/>
        <w:rPr>
          <w:sz w:val="20"/>
          <w:szCs w:val="20"/>
          <w:color w:val="auto"/>
        </w:rPr>
      </w:pPr>
    </w:p>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Means</w:t>
      </w:r>
      <w:r>
        <w:rPr>
          <w:rFonts w:ascii="Times New Roman" w:cs="Times New Roman" w:eastAsia="Times New Roman" w:hAnsi="Times New Roman"/>
          <w:sz w:val="21"/>
          <w:szCs w:val="21"/>
          <w:color w:val="auto"/>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4" w:lineRule="exact"/>
        <w:rPr>
          <w:sz w:val="20"/>
          <w:szCs w:val="20"/>
          <w:color w:val="auto"/>
        </w:rPr>
      </w:pPr>
    </w:p>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the price that could be negotiated in an arm’s-length transaction between a willing buyer and a willing seller not involving distress or necessity of either party, determined in good faith by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8" w:right="339" w:bottom="1440" w:gutter="0" w:footer="0" w:header="0"/>
        </w:sectPr>
      </w:pPr>
    </w:p>
    <w:bookmarkStart w:id="124" w:name="page125"/>
    <w:bookmarkEnd w:id="124"/>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Fitch</w:t>
      </w:r>
      <w:r>
        <w:rPr>
          <w:rFonts w:ascii="Times New Roman" w:cs="Times New Roman" w:eastAsia="Times New Roman" w:hAnsi="Times New Roman"/>
          <w:sz w:val="21"/>
          <w:szCs w:val="21"/>
          <w:color w:val="auto"/>
        </w:rPr>
        <w:t>” means Fitch Ratings, Inc. or any successor to the rating agency business thereof.</w:t>
      </w:r>
    </w:p>
    <w:p>
      <w:pPr>
        <w:spacing w:after="0" w:line="219" w:lineRule="exact"/>
        <w:rPr>
          <w:sz w:val="20"/>
          <w:szCs w:val="20"/>
          <w:color w:val="auto"/>
        </w:rPr>
      </w:pPr>
    </w:p>
    <w:p>
      <w:pPr>
        <w:jc w:val="both"/>
        <w:ind w:firstLine="1263"/>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Funded Debt</w:t>
      </w:r>
      <w:r>
        <w:rPr>
          <w:rFonts w:ascii="Times New Roman" w:cs="Times New Roman" w:eastAsia="Times New Roman" w:hAnsi="Times New Roman"/>
          <w:sz w:val="21"/>
          <w:szCs w:val="21"/>
          <w:color w:val="auto"/>
        </w:rPr>
        <w:t>” means all indebtedness for money borrowed having a maturity of more than 12 months from the date of the most recent balance sheet of the Company and its consolidated Subsidiaries or having a maturity of less than 12 months but by its terms being renewable or extendible beyond 12 months from the date of such balance sheet at the option of the borrower of such indebtedness.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has the meaning provided in new Section 3.12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has the meaning provided in new Section 3.12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means the Person in whose name a Note is registered in the books of the Registrar for the Notes.</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has the meaning provided in the Preamble.</w:t>
      </w:r>
    </w:p>
    <w:p>
      <w:pPr>
        <w:spacing w:after="0" w:line="219" w:lineRule="exact"/>
        <w:rPr>
          <w:sz w:val="20"/>
          <w:szCs w:val="20"/>
          <w:color w:val="auto"/>
        </w:rPr>
      </w:pPr>
    </w:p>
    <w:p>
      <w:pPr>
        <w:jc w:val="both"/>
        <w:ind w:firstLine="1263"/>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 Grade</w:t>
      </w:r>
      <w:r>
        <w:rPr>
          <w:rFonts w:ascii="Times New Roman" w:cs="Times New Roman" w:eastAsia="Times New Roman" w:hAnsi="Times New Roman"/>
          <w:sz w:val="21"/>
          <w:szCs w:val="21"/>
          <w:color w:val="auto"/>
        </w:rPr>
        <w:t>” means a rating of BBB- or better by Fitch (or its equivalent under any successor rating category of Fitch),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the Company under the circumstances specified in this Supplemental Indenture permitting the Company to select a replacement rating agency and in the manner specified in this Supplemental Indenture for selecting a replacement rating agency, in each case as set forth in the definition of “Rating Agency.”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a subsidiary of Moody’s Corporation, and its successors.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Mortgage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have the meanings provided in new Section 4.08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has the meaning provided in the Recitals.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has the meaning provided in new Section 3.12(b) of the Indenture.</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Paying Agent</w:t>
      </w:r>
      <w:r>
        <w:rPr>
          <w:rFonts w:ascii="Times New Roman" w:cs="Times New Roman" w:eastAsia="Times New Roman" w:hAnsi="Times New Roman"/>
          <w:sz w:val="21"/>
          <w:szCs w:val="21"/>
          <w:color w:val="auto"/>
        </w:rPr>
        <w:t>” means The Bank of New York Mellon Trust Company, N.A. or any successor paying agent.</w:t>
      </w:r>
    </w:p>
    <w:p>
      <w:pPr>
        <w:spacing w:after="0" w:line="219" w:lineRule="exact"/>
        <w:rPr>
          <w:sz w:val="20"/>
          <w:szCs w:val="20"/>
          <w:color w:val="auto"/>
        </w:rPr>
      </w:pPr>
    </w:p>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corporation, limited liability company, partnership, joint venture, association, joint stock company, trust, estate, unincorporated organization or government or any agency or political subdivision thereof or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8" w:right="339" w:bottom="1440" w:gutter="0" w:footer="0" w:header="0"/>
        </w:sectPr>
      </w:pPr>
    </w:p>
    <w:bookmarkStart w:id="125" w:name="page126"/>
    <w:bookmarkEnd w:id="125"/>
    <w:p>
      <w:pPr>
        <w:jc w:val="both"/>
        <w:ind w:firstLine="126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Principal Property</w:t>
      </w:r>
      <w:r>
        <w:rPr>
          <w:rFonts w:ascii="Times New Roman" w:cs="Times New Roman" w:eastAsia="Times New Roman" w:hAnsi="Times New Roman"/>
          <w:sz w:val="21"/>
          <w:szCs w:val="21"/>
          <w:color w:val="auto"/>
        </w:rPr>
        <w:t>” means any single parcel of real estate, any single manufacturing plant or any single warehouse owned or leased in connection with a Sale and Leaseback Transaction by the Company or any Subsidiary which is located within the United States and the net book value of which on the date as of which the determination is being made exceeds 1% of Consolidated Net Tangible Assets, other than any such manufacturing plant or warehouse or portion thereof (a) which is a pollution control or other facility financed by obligations issued by a state or local government unit and described in Sections 141(a), 142(a)(5), 142(a)</w:t>
      </w:r>
    </w:p>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(6), 142(a)(10) or 144(a) of the Code (or their successor provisions) or by any other obligations the interest of which is excluded under Section 103 of the Code (or its successor provision), or (b) which, in the good-faith opinion of the Board of Directors of the Company, as evidenced by a Board Resolution, is not of material importance to the total business conducted by the Company and the Subsidiaries taken as a whole.</w:t>
      </w:r>
    </w:p>
    <w:p>
      <w:pPr>
        <w:spacing w:after="0" w:line="169" w:lineRule="exact"/>
        <w:rPr>
          <w:sz w:val="20"/>
          <w:szCs w:val="20"/>
          <w:color w:val="auto"/>
        </w:rPr>
      </w:pPr>
    </w:p>
    <w:p>
      <w:pPr>
        <w:jc w:val="both"/>
        <w:ind w:firstLine="126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Rating Agency</w:t>
      </w:r>
      <w:r>
        <w:rPr>
          <w:rFonts w:ascii="Times New Roman" w:cs="Times New Roman" w:eastAsia="Times New Roman" w:hAnsi="Times New Roman"/>
          <w:sz w:val="21"/>
          <w:szCs w:val="21"/>
          <w:color w:val="auto"/>
        </w:rPr>
        <w:t>” means each of Fitch, Moody’s and S&amp;P; provided that if any of Fitch, Moody’s or S&amp;P ceases to provide rating services to issuers or investors, the Company may appoint another “nationally recognized statistical rating organization” (as defined under the Exchange Act) as a replacement for such Rating Agency; provided that the Company shall give written notice of such appointment to the Trustee.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Registrar</w:t>
      </w:r>
      <w:r>
        <w:rPr>
          <w:rFonts w:ascii="Times New Roman" w:cs="Times New Roman" w:eastAsia="Times New Roman" w:hAnsi="Times New Roman"/>
          <w:sz w:val="21"/>
          <w:szCs w:val="21"/>
          <w:color w:val="auto"/>
        </w:rPr>
        <w:t>” means The Bank of New York Mellon Trust Company, N.A., or any successor registrar of the Notes.</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has the meaning provided in new Section 3.12 of the Indenture.</w:t>
      </w:r>
    </w:p>
    <w:p>
      <w:pPr>
        <w:spacing w:after="0" w:line="219"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Remaining Scheduled Payments</w:t>
      </w:r>
      <w:r>
        <w:rPr>
          <w:rFonts w:ascii="Times New Roman" w:cs="Times New Roman" w:eastAsia="Times New Roman" w:hAnsi="Times New Roman"/>
          <w:sz w:val="21"/>
          <w:szCs w:val="21"/>
          <w:color w:val="auto"/>
        </w:rPr>
        <w:t>” means the remaining scheduled payments of the principal of and interest on each Note to be redeemed that would be due after the related Redemption Date but for such redemption.</w:t>
      </w:r>
    </w:p>
    <w:p>
      <w:pPr>
        <w:spacing w:after="0" w:line="143" w:lineRule="exact"/>
        <w:rPr>
          <w:sz w:val="20"/>
          <w:szCs w:val="20"/>
          <w:color w:val="auto"/>
        </w:rPr>
      </w:pPr>
    </w:p>
    <w:p>
      <w:pPr>
        <w:jc w:val="both"/>
        <w:ind w:firstLine="1263"/>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Subsidiary</w:t>
      </w:r>
      <w:r>
        <w:rPr>
          <w:rFonts w:ascii="Times New Roman" w:cs="Times New Roman" w:eastAsia="Times New Roman" w:hAnsi="Times New Roman"/>
          <w:sz w:val="21"/>
          <w:szCs w:val="21"/>
          <w:color w:val="auto"/>
        </w:rPr>
        <w:t>” means a wholly owned Subsidiary of the Company, substantially all of the assets of which are located in the United States (excluding territories or possessions), and which owns a Principal Property; provided, however, that the term Restricted Subsidiary shall not include any Subsidiary that is principally engaged in (a) the business of financing; (b) the business of owning, buying, selling, leasing, dealing in or developing real property; or (c) the business of exporting goods or merchandise from or importing goods or merchandise into the United States.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S&amp;P Global Ratings, a division of S&amp;P Global Inc., and its successors.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Sale and Leaseback Transaction</w:t>
      </w:r>
      <w:r>
        <w:rPr>
          <w:rFonts w:ascii="Times New Roman" w:cs="Times New Roman" w:eastAsia="Times New Roman" w:hAnsi="Times New Roman"/>
          <w:sz w:val="21"/>
          <w:szCs w:val="21"/>
          <w:color w:val="auto"/>
        </w:rPr>
        <w:t>” has the meaning provided in new Section 4.09 of the Indenture.</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Debt</w:t>
      </w:r>
      <w:r>
        <w:rPr>
          <w:rFonts w:ascii="Times New Roman" w:cs="Times New Roman" w:eastAsia="Times New Roman" w:hAnsi="Times New Roman"/>
          <w:sz w:val="21"/>
          <w:szCs w:val="21"/>
          <w:color w:val="auto"/>
        </w:rPr>
        <w:t>” has the meaning provided in new Section 4.08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8" w:right="339" w:bottom="1440" w:gutter="0" w:footer="0" w:header="0"/>
        </w:sectPr>
      </w:pPr>
    </w:p>
    <w:bookmarkStart w:id="126" w:name="page127"/>
    <w:bookmarkEnd w:id="126"/>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 Person more than 50% of the outstanding Voting Stock of which is owned, directly or indirectly, by the Company or by one or more other Subsidiaries, or by the Company and one or more other Subsidiaries.</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Supplemental Indenture</w:t>
      </w:r>
      <w:r>
        <w:rPr>
          <w:rFonts w:ascii="Times New Roman" w:cs="Times New Roman" w:eastAsia="Times New Roman" w:hAnsi="Times New Roman"/>
          <w:sz w:val="21"/>
          <w:szCs w:val="21"/>
          <w:color w:val="auto"/>
        </w:rPr>
        <w:t>” has the meaning provided in the Preamble.</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has the meaning provided in new Section 3.12 of the Indenture.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Trigger Period</w:t>
      </w:r>
      <w:r>
        <w:rPr>
          <w:rFonts w:ascii="Times New Roman" w:cs="Times New Roman" w:eastAsia="Times New Roman" w:hAnsi="Times New Roman"/>
          <w:sz w:val="21"/>
          <w:szCs w:val="21"/>
          <w:color w:val="auto"/>
        </w:rPr>
        <w:t>” has the meaning provided in the definition of “Below Investment Grade Rating Event.”</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has the meaning provided in the Preamble.</w:t>
      </w:r>
    </w:p>
    <w:p>
      <w:pPr>
        <w:spacing w:after="0" w:line="219" w:lineRule="exact"/>
        <w:rPr>
          <w:sz w:val="20"/>
          <w:szCs w:val="20"/>
          <w:color w:val="auto"/>
        </w:rPr>
      </w:pPr>
    </w:p>
    <w:p>
      <w:pPr>
        <w:jc w:val="both"/>
        <w:ind w:firstLine="1263"/>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Voting Stock</w:t>
      </w:r>
      <w:r>
        <w:rPr>
          <w:rFonts w:ascii="Times New Roman" w:cs="Times New Roman" w:eastAsia="Times New Roman" w:hAnsi="Times New Roman"/>
          <w:sz w:val="21"/>
          <w:szCs w:val="21"/>
          <w:color w:val="auto"/>
        </w:rPr>
        <w:t>” of any specified Person as of any date means the capital stock (or comparable equity interests) of such Person that is at the time entitled to vote generally in the election of the board of directors (or members of the governing body) of such Person.</w:t>
      </w:r>
    </w:p>
    <w:p>
      <w:pPr>
        <w:spacing w:after="0" w:line="1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3</w:t>
      </w:r>
    </w:p>
    <w:p>
      <w:pPr>
        <w:spacing w:after="0" w:line="1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Redemption</w:t>
      </w:r>
    </w:p>
    <w:p>
      <w:pPr>
        <w:spacing w:after="0" w:line="18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u w:val="single" w:color="auto"/>
          <w:color w:val="auto"/>
        </w:rPr>
        <w:t>Selection of Securities To Be Redeemed</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Section 3.03 of the Indenture shall be amended by replacing that section of the Indenture with the following, but only with respect to the Notes:</w:t>
      </w:r>
    </w:p>
    <w:p>
      <w:pPr>
        <w:spacing w:after="0" w:line="143" w:lineRule="exact"/>
        <w:rPr>
          <w:sz w:val="20"/>
          <w:szCs w:val="20"/>
          <w:color w:val="auto"/>
        </w:rPr>
      </w:pPr>
    </w:p>
    <w:p>
      <w:pPr>
        <w:jc w:val="both"/>
        <w:ind w:firstLine="1263"/>
        <w:spacing w:after="0" w:line="257" w:lineRule="auto"/>
        <w:rPr>
          <w:sz w:val="20"/>
          <w:szCs w:val="20"/>
          <w:color w:val="auto"/>
        </w:rPr>
      </w:pPr>
      <w:r>
        <w:rPr>
          <w:rFonts w:ascii="Times New Roman" w:cs="Times New Roman" w:eastAsia="Times New Roman" w:hAnsi="Times New Roman"/>
          <w:sz w:val="21"/>
          <w:szCs w:val="21"/>
          <w:color w:val="auto"/>
        </w:rPr>
        <w:t>If less than all of the Notes of either series are to be redeemed, the particular Notes of such series to be redeemed shall be selected not more than 60 days prior to the Redemption Date by the Trustee from the outstanding Notes of such series not previously called for redemption, by lot; provided that, if at the time of redemption such Notes are registered as a Global Security, the Depositary shall determine, in accordance with its procedures, the principal amount of such Notes held by each Beneficial Owner of Notes to be redeemed. Notes may be selected for redemption in principal amounts of $1,000 and integral multiples of $1,000 in excess thereof, provided that the unredeemed portion of a Note must be in a minimum principal amount of $2,000.</w:t>
      </w:r>
    </w:p>
    <w:p>
      <w:pPr>
        <w:spacing w:after="0" w:line="172" w:lineRule="exact"/>
        <w:rPr>
          <w:sz w:val="20"/>
          <w:szCs w:val="20"/>
          <w:color w:val="auto"/>
        </w:rPr>
      </w:pPr>
    </w:p>
    <w:p>
      <w:pPr>
        <w:jc w:val="both"/>
        <w:ind w:firstLine="1263"/>
        <w:spacing w:after="0" w:line="260" w:lineRule="auto"/>
        <w:rPr>
          <w:sz w:val="20"/>
          <w:szCs w:val="20"/>
          <w:color w:val="auto"/>
        </w:rPr>
      </w:pPr>
      <w:r>
        <w:rPr>
          <w:rFonts w:ascii="Times New Roman" w:cs="Times New Roman" w:eastAsia="Times New Roman" w:hAnsi="Times New Roman"/>
          <w:sz w:val="21"/>
          <w:szCs w:val="21"/>
          <w:color w:val="auto"/>
        </w:rPr>
        <w:t>The Trustee shall promptly notify the Company and the Registrar in writing of the Notes of either series selected for redemption and, in the case of any Notes of such series selected for partial redemption, the principal amount thereof to be redeemed. For purposes of this Indenture, unless the context otherwise requires, all provisions relating to redemption of Notes of such series shall relate, in the case of any of the Notes of such series redeemed or to be redeemed only in part, to the portion of the principal amount thereof which has been or is to be redeemed.</w:t>
      </w:r>
    </w:p>
    <w:p>
      <w:pPr>
        <w:spacing w:after="0" w:line="13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1"/>
          <w:szCs w:val="21"/>
          <w:u w:val="single" w:color="auto"/>
          <w:color w:val="auto"/>
        </w:rPr>
        <w:t>Notice of Redemption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Section 3.04 of the Indenture shall be amended by replacing that section of the Indenture with the following, but only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8" w:right="339" w:bottom="1440" w:gutter="0" w:footer="0" w:header="0"/>
        </w:sectPr>
      </w:pPr>
    </w:p>
    <w:bookmarkStart w:id="127" w:name="page128"/>
    <w:bookmarkEnd w:id="127"/>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Notice of redemption shall be sent not less than 10 days nor more than 60 days prior to the Redemption Date, to each Holder of Securities to be redeemed, at the address of such Holder appearing in the register of Securities maintained by the Registrar.</w:t>
      </w:r>
    </w:p>
    <w:p>
      <w:pPr>
        <w:spacing w:after="0" w:line="143" w:lineRule="exact"/>
        <w:rPr>
          <w:sz w:val="20"/>
          <w:szCs w:val="20"/>
          <w:color w:val="auto"/>
        </w:rPr>
      </w:pPr>
    </w:p>
    <w:p>
      <w:pPr>
        <w:jc w:val="both"/>
        <w:ind w:firstLine="1263"/>
        <w:spacing w:after="0" w:line="258" w:lineRule="auto"/>
        <w:rPr>
          <w:sz w:val="20"/>
          <w:szCs w:val="20"/>
          <w:color w:val="auto"/>
        </w:rPr>
      </w:pPr>
      <w:r>
        <w:rPr>
          <w:rFonts w:ascii="Times New Roman" w:cs="Times New Roman" w:eastAsia="Times New Roman" w:hAnsi="Times New Roman"/>
          <w:sz w:val="21"/>
          <w:szCs w:val="21"/>
          <w:color w:val="auto"/>
        </w:rPr>
        <w:t>Notice of any redemption of the Notes in connection with a corporate transaction that is pending (including an equity offering, an incurrence of Debt or a change of control) may, at the Company’s discretion, be given subject to one or more conditions precedent, including, but not limited to, completion of the transaction. If such redemption is so subject to satisfaction of one or more conditions precedent, such notice shall describe each such condition, and such notice may be rescinded in the event that any or all such conditions shall not have been satisfied or otherwise waived by the Redemption Date. The Company shall notify holders of Notes called for redemption of any such rescission as soon as practicable after the Company determines that such conditions precedent will not be able to be satisfied or the Company is not able or willing to waive such conditions precedent.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All notices of redemption shall identify the Securities to be redeemed and shall state:</w:t>
      </w:r>
    </w:p>
    <w:p>
      <w:pPr>
        <w:spacing w:after="0" w:line="219" w:lineRule="exact"/>
        <w:rPr>
          <w:sz w:val="20"/>
          <w:szCs w:val="20"/>
          <w:color w:val="auto"/>
        </w:rPr>
      </w:pPr>
    </w:p>
    <w:p>
      <w:pPr>
        <w:ind w:left="1560" w:hanging="292"/>
        <w:spacing w:after="0"/>
        <w:tabs>
          <w:tab w:leader="none" w:pos="15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Date;</w:t>
      </w:r>
    </w:p>
    <w:p>
      <w:pPr>
        <w:spacing w:after="0" w:line="219" w:lineRule="exact"/>
        <w:rPr>
          <w:rFonts w:ascii="Times New Roman" w:cs="Times New Roman" w:eastAsia="Times New Roman" w:hAnsi="Times New Roman"/>
          <w:sz w:val="21"/>
          <w:szCs w:val="21"/>
          <w:color w:val="auto"/>
        </w:rPr>
      </w:pPr>
    </w:p>
    <w:p>
      <w:pPr>
        <w:ind w:left="1560" w:hanging="292"/>
        <w:spacing w:after="0"/>
        <w:tabs>
          <w:tab w:leader="none" w:pos="15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(or the method of calculating or determining the Redemption Price);</w:t>
      </w:r>
    </w:p>
    <w:p>
      <w:pPr>
        <w:spacing w:after="0" w:line="219" w:lineRule="exact"/>
        <w:rPr>
          <w:rFonts w:ascii="Times New Roman" w:cs="Times New Roman" w:eastAsia="Times New Roman" w:hAnsi="Times New Roman"/>
          <w:sz w:val="21"/>
          <w:szCs w:val="21"/>
          <w:color w:val="auto"/>
        </w:rPr>
      </w:pPr>
    </w:p>
    <w:p>
      <w:pPr>
        <w:jc w:val="both"/>
        <w:ind w:firstLine="1268"/>
        <w:spacing w:after="0" w:line="271" w:lineRule="auto"/>
        <w:tabs>
          <w:tab w:leader="none" w:pos="156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unless the Company defaults in making the redemption payment, interest on Securities called for redemption ceases to accrue on and after the Redemption Date, and the only remaining right of the Holders of such Securities is to receive payment of the Redemption Price upon surrender to the Paying Agent of the Securities redeemed;</w:t>
      </w:r>
    </w:p>
    <w:p>
      <w:pPr>
        <w:spacing w:after="0" w:line="155" w:lineRule="exact"/>
        <w:rPr>
          <w:rFonts w:ascii="Times New Roman" w:cs="Times New Roman" w:eastAsia="Times New Roman" w:hAnsi="Times New Roman"/>
          <w:sz w:val="21"/>
          <w:szCs w:val="21"/>
          <w:color w:val="auto"/>
        </w:rPr>
      </w:pPr>
    </w:p>
    <w:p>
      <w:pPr>
        <w:jc w:val="both"/>
        <w:ind w:firstLine="1268"/>
        <w:spacing w:after="0" w:line="265" w:lineRule="auto"/>
        <w:tabs>
          <w:tab w:leader="none" w:pos="157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Security is to be redeemed in part, the portion of the principal amount thereof to be redeemed and that on and after the Redemption Date, upon surrender for cancellation of such Security to the Paying Agent, a new Security or Securities in the aggregate principal amount equal to the unredeemed portion thereof will be issued without charge to the Holder;</w:t>
      </w:r>
    </w:p>
    <w:p>
      <w:pPr>
        <w:spacing w:after="0" w:line="160" w:lineRule="exact"/>
        <w:rPr>
          <w:rFonts w:ascii="Times New Roman" w:cs="Times New Roman" w:eastAsia="Times New Roman" w:hAnsi="Times New Roman"/>
          <w:sz w:val="21"/>
          <w:szCs w:val="21"/>
          <w:color w:val="auto"/>
        </w:rPr>
      </w:pPr>
    </w:p>
    <w:p>
      <w:pPr>
        <w:ind w:firstLine="1268"/>
        <w:spacing w:after="0" w:line="295" w:lineRule="auto"/>
        <w:tabs>
          <w:tab w:leader="none" w:pos="156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Securities called for redemption must be surrendered to the Paying Agent to collect the Redemption Price and the name and address of the Paying Agent;</w:t>
      </w:r>
    </w:p>
    <w:p>
      <w:pPr>
        <w:spacing w:after="0" w:line="130" w:lineRule="exact"/>
        <w:rPr>
          <w:rFonts w:ascii="Times New Roman" w:cs="Times New Roman" w:eastAsia="Times New Roman" w:hAnsi="Times New Roman"/>
          <w:sz w:val="21"/>
          <w:szCs w:val="21"/>
          <w:color w:val="auto"/>
        </w:rPr>
      </w:pPr>
    </w:p>
    <w:p>
      <w:pPr>
        <w:ind w:left="1560" w:hanging="292"/>
        <w:spacing w:after="0"/>
        <w:tabs>
          <w:tab w:leader="none" w:pos="15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redemption is for a sinking or analogous fund, if such is the case;</w:t>
      </w:r>
    </w:p>
    <w:p>
      <w:pPr>
        <w:spacing w:after="0" w:line="219" w:lineRule="exact"/>
        <w:rPr>
          <w:rFonts w:ascii="Times New Roman" w:cs="Times New Roman" w:eastAsia="Times New Roman" w:hAnsi="Times New Roman"/>
          <w:sz w:val="21"/>
          <w:szCs w:val="21"/>
          <w:color w:val="auto"/>
        </w:rPr>
      </w:pPr>
    </w:p>
    <w:p>
      <w:pPr>
        <w:jc w:val="both"/>
        <w:ind w:firstLine="1268"/>
        <w:spacing w:after="0" w:line="264" w:lineRule="auto"/>
        <w:tabs>
          <w:tab w:leader="none" w:pos="162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Securities are convertible into or exchangeable for capital stock, other debt securities (including Securities), warrants, other equity securities or any other securities or property of the Company or any other Person, the name and address of the conversion or exchange agent, the date on which the right to convert or exchange is terminated and the conversion or exchange rate; and</w:t>
      </w:r>
    </w:p>
    <w:p>
      <w:pPr>
        <w:spacing w:after="0" w:line="161" w:lineRule="exact"/>
        <w:rPr>
          <w:rFonts w:ascii="Times New Roman" w:cs="Times New Roman" w:eastAsia="Times New Roman" w:hAnsi="Times New Roman"/>
          <w:sz w:val="21"/>
          <w:szCs w:val="21"/>
          <w:color w:val="auto"/>
        </w:rPr>
      </w:pPr>
    </w:p>
    <w:p>
      <w:pPr>
        <w:ind w:left="1560" w:hanging="292"/>
        <w:spacing w:after="0"/>
        <w:tabs>
          <w:tab w:leader="none" w:pos="15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CUSIP number, if any, relating to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8" w:right="339" w:bottom="1440" w:gutter="0" w:footer="0" w:header="0"/>
        </w:sectPr>
      </w:pPr>
    </w:p>
    <w:bookmarkStart w:id="128" w:name="page129"/>
    <w:bookmarkEnd w:id="128"/>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Notice of redemption of Securities to be redeemed at the election of the Company shall be given by the Company or, at the Company’s written request, given to the Trustee at least 5 days before the notice of redemption is delivered to the Holders (unless the Trustee agrees to a shorter period), by the Trustee in the name and at the expense of the Company.</w:t>
      </w:r>
    </w:p>
    <w:p>
      <w:pPr>
        <w:spacing w:after="0" w:line="14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1"/>
          <w:szCs w:val="21"/>
          <w:u w:val="single" w:color="auto"/>
          <w:color w:val="auto"/>
        </w:rPr>
        <w:t>Effect of Notice of Redemption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Section 3.05 of the Indenture shall be amended by replacing that section of the Indenture with the following, but only with respect to the Notes:</w:t>
      </w:r>
    </w:p>
    <w:p>
      <w:pPr>
        <w:spacing w:after="0" w:line="143" w:lineRule="exact"/>
        <w:rPr>
          <w:sz w:val="20"/>
          <w:szCs w:val="20"/>
          <w:color w:val="auto"/>
        </w:rPr>
      </w:pPr>
    </w:p>
    <w:p>
      <w:pPr>
        <w:jc w:val="both"/>
        <w:ind w:firstLine="1263"/>
        <w:spacing w:after="0" w:line="260" w:lineRule="auto"/>
        <w:rPr>
          <w:sz w:val="20"/>
          <w:szCs w:val="20"/>
          <w:color w:val="auto"/>
        </w:rPr>
      </w:pPr>
      <w:r>
        <w:rPr>
          <w:rFonts w:ascii="Times New Roman" w:cs="Times New Roman" w:eastAsia="Times New Roman" w:hAnsi="Times New Roman"/>
          <w:sz w:val="21"/>
          <w:szCs w:val="21"/>
          <w:color w:val="auto"/>
        </w:rPr>
        <w:t>Once notice of redemption is sent, subject to the satisfaction of any conditions precedent provided in the notice of redemption, Securities called for redemption become due and payable on the Redemption Date and at the Redemption Price. Upon surrender to the Paying Agent, such Securities called for redemption shall be paid at the Redemption Price, but interest installments whose maturity is on or prior to such Redemption Date will be payable on the relevant Interest Payment Dates to the Holders of record at the close of business on the relevant record dates specified pursuant to Section 2.01.</w:t>
      </w:r>
    </w:p>
    <w:p>
      <w:pPr>
        <w:spacing w:after="0" w:line="13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3.04.</w:t>
      </w:r>
      <w:r>
        <w:rPr>
          <w:sz w:val="20"/>
          <w:szCs w:val="20"/>
          <w:color w:val="auto"/>
        </w:rPr>
        <w:tab/>
      </w:r>
      <w:r>
        <w:rPr>
          <w:rFonts w:ascii="Times New Roman" w:cs="Times New Roman" w:eastAsia="Times New Roman" w:hAnsi="Times New Roman"/>
          <w:sz w:val="21"/>
          <w:szCs w:val="21"/>
          <w:u w:val="single" w:color="auto"/>
          <w:color w:val="auto"/>
        </w:rPr>
        <w:t>Redemption at the Option of the Company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Section 3.12 shall be added to Article III of the Indenture, but only with respect to the Notes: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i w:val="1"/>
          <w:iCs w:val="1"/>
          <w:color w:val="auto"/>
        </w:rPr>
        <w:t>Redemption at the Option of the Company.</w:t>
      </w:r>
    </w:p>
    <w:p>
      <w:pPr>
        <w:spacing w:after="0" w:line="195" w:lineRule="exact"/>
        <w:rPr>
          <w:sz w:val="20"/>
          <w:szCs w:val="20"/>
          <w:color w:val="auto"/>
        </w:rPr>
      </w:pPr>
    </w:p>
    <w:p>
      <w:pPr>
        <w:jc w:val="both"/>
        <w:ind w:firstLine="1268"/>
        <w:spacing w:after="0" w:line="220" w:lineRule="auto"/>
        <w:tabs>
          <w:tab w:leader="none" w:pos="189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(i) August 15, 2035 in the case of the 2035 Notes (three months prior to the Stated Maturity of the 2035 Notes) (the “</w:t>
      </w:r>
      <w:r>
        <w:rPr>
          <w:rFonts w:ascii="Times New Roman" w:cs="Times New Roman" w:eastAsia="Times New Roman" w:hAnsi="Times New Roman"/>
          <w:sz w:val="21"/>
          <w:szCs w:val="21"/>
          <w:u w:val="single" w:color="auto"/>
          <w:color w:val="auto"/>
        </w:rPr>
        <w:t>2035 Par Call Date</w:t>
      </w:r>
      <w:r>
        <w:rPr>
          <w:rFonts w:ascii="Times New Roman" w:cs="Times New Roman" w:eastAsia="Times New Roman" w:hAnsi="Times New Roman"/>
          <w:sz w:val="21"/>
          <w:szCs w:val="21"/>
          <w:color w:val="auto"/>
        </w:rPr>
        <w:t>”) and (ii) May 15, 2055 in the case of the 2055 Notes (six months prior to the Stated Maturity of the 2055 Notes) (the “</w:t>
      </w:r>
      <w:r>
        <w:rPr>
          <w:rFonts w:ascii="Times New Roman" w:cs="Times New Roman" w:eastAsia="Times New Roman" w:hAnsi="Times New Roman"/>
          <w:sz w:val="21"/>
          <w:szCs w:val="21"/>
          <w:u w:val="single" w:color="auto"/>
          <w:color w:val="auto"/>
        </w:rPr>
        <w:t>2055 Par Call Date</w:t>
      </w:r>
      <w:r>
        <w:rPr>
          <w:rFonts w:ascii="Times New Roman" w:cs="Times New Roman" w:eastAsia="Times New Roman" w:hAnsi="Times New Roman"/>
          <w:sz w:val="21"/>
          <w:szCs w:val="21"/>
          <w:color w:val="auto"/>
        </w:rPr>
        <w:t>”; the 2035 Par Call Date and the 2055 Par Call Date are each a “</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the Company may redeem the 2035 Notes or the 2055 Notes, respectively, at its option, in whole or in part, at any time and from time to time, at a Redemption Price (expressed as a percentage of principal amount and rounded to three decimal places) equal to the greater of:</w:t>
      </w:r>
    </w:p>
    <w:p>
      <w:pPr>
        <w:spacing w:after="0" w:line="145" w:lineRule="exact"/>
        <w:rPr>
          <w:rFonts w:ascii="Times New Roman" w:cs="Times New Roman" w:eastAsia="Times New Roman" w:hAnsi="Times New Roman"/>
          <w:sz w:val="21"/>
          <w:szCs w:val="21"/>
          <w:color w:val="auto"/>
        </w:rPr>
      </w:pPr>
    </w:p>
    <w:p>
      <w:pPr>
        <w:jc w:val="both"/>
        <w:ind w:left="640" w:firstLine="1181"/>
        <w:spacing w:after="0" w:line="222" w:lineRule="auto"/>
        <w:tabs>
          <w:tab w:leader="none" w:pos="252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sum of the present values of the Remaining Scheduled Payments on the Notes of such series to be redeemed discounted to the Redemption Date (assuming the Notes to be redeemed matured on the applicable Par Call Date) on a semi-annual basis (assuming a 360-day year consisting of twelve 30-day months) at the applicable Treasury Rate plus 25 basis points in the case of the 2035 Notes and 30 basis points in the case of the 2055 Notes, less (b) interest accrued to the Redemption Date; and</w:t>
      </w:r>
    </w:p>
    <w:p>
      <w:pPr>
        <w:spacing w:after="0" w:line="146" w:lineRule="exact"/>
        <w:rPr>
          <w:rFonts w:ascii="Times New Roman" w:cs="Times New Roman" w:eastAsia="Times New Roman" w:hAnsi="Times New Roman"/>
          <w:sz w:val="21"/>
          <w:szCs w:val="21"/>
          <w:color w:val="auto"/>
        </w:rPr>
      </w:pPr>
    </w:p>
    <w:p>
      <w:pPr>
        <w:ind w:left="2520" w:hanging="699"/>
        <w:spacing w:after="0"/>
        <w:tabs>
          <w:tab w:leader="none" w:pos="252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 of the principal amount of the Notes of such series to be redeemed;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plus, in either case, accrued and unpaid interest thereon to, but not including, the Redemption Date.</w:t>
      </w:r>
    </w:p>
    <w:p>
      <w:pPr>
        <w:spacing w:after="0" w:line="219"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1"/>
          <w:szCs w:val="21"/>
          <w:color w:val="auto"/>
        </w:rPr>
        <w:t>On or after the 2035 Par Call Date, in the case of the 2035 Notes, or the 2055 Par Call Date, in the case of the 2055 Notes, the Company may redeem the 2035 Notes or the 2055 Notes, respectively, in whole or in part, at any time and from time to time, at a redemption price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8" w:right="339" w:bottom="1440" w:gutter="0" w:footer="0" w:header="0"/>
        </w:sectPr>
      </w:pPr>
    </w:p>
    <w:bookmarkStart w:id="129" w:name="page130"/>
    <w:bookmarkEnd w:id="129"/>
    <w:p>
      <w:pPr>
        <w:ind w:right="500"/>
        <w:spacing w:after="0" w:line="282" w:lineRule="auto"/>
        <w:rPr>
          <w:sz w:val="20"/>
          <w:szCs w:val="20"/>
          <w:color w:val="auto"/>
        </w:rPr>
      </w:pPr>
      <w:r>
        <w:rPr>
          <w:rFonts w:ascii="Times New Roman" w:cs="Times New Roman" w:eastAsia="Times New Roman" w:hAnsi="Times New Roman"/>
          <w:sz w:val="21"/>
          <w:szCs w:val="21"/>
          <w:color w:val="auto"/>
        </w:rPr>
        <w:t>to 100% of the principal amount of the Notes being redeemed plus, in each case, accrued and unpaid interest thereon to, but not including, the Redemption Date.</w:t>
      </w:r>
    </w:p>
    <w:p>
      <w:pPr>
        <w:spacing w:after="0" w:line="143" w:lineRule="exact"/>
        <w:rPr>
          <w:sz w:val="20"/>
          <w:szCs w:val="20"/>
          <w:color w:val="auto"/>
        </w:rPr>
      </w:pPr>
    </w:p>
    <w:p>
      <w:pPr>
        <w:ind w:right="820"/>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means, with respect to any Redemption Date, the yield determined by the Company in accordance with the following two paragraphs.</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under the caption “U.S. government securities–Treasury constant maturities–Nominal” (or any successor caption or heading) (“</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In determining the Treasury Rate, the Company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8" w:right="339" w:bottom="1440" w:gutter="0" w:footer="0" w:header="0"/>
        </w:sectPr>
      </w:pPr>
    </w:p>
    <w:bookmarkStart w:id="130" w:name="page131"/>
    <w:bookmarkEnd w:id="130"/>
    <w:p>
      <w:pPr>
        <w:ind w:right="480"/>
        <w:spacing w:after="0" w:line="282" w:lineRule="auto"/>
        <w:rPr>
          <w:sz w:val="20"/>
          <w:szCs w:val="20"/>
          <w:color w:val="auto"/>
        </w:rPr>
      </w:pPr>
      <w:r>
        <w:rPr>
          <w:rFonts w:ascii="Times New Roman" w:cs="Times New Roman" w:eastAsia="Times New Roman" w:hAnsi="Times New Roman"/>
          <w:sz w:val="21"/>
          <w:szCs w:val="21"/>
          <w:color w:val="auto"/>
        </w:rPr>
        <w:t>asked prices (expressed as a percentage of principal amount) at 11:00 a.m., New York City time, of such United States Treasury security, and rounded to three decimal places.</w:t>
      </w:r>
    </w:p>
    <w:p>
      <w:pPr>
        <w:spacing w:after="0" w:line="117" w:lineRule="exact"/>
        <w:rPr>
          <w:sz w:val="20"/>
          <w:szCs w:val="20"/>
          <w:color w:val="auto"/>
        </w:rPr>
      </w:pPr>
    </w:p>
    <w:p>
      <w:pPr>
        <w:jc w:val="both"/>
        <w:ind w:firstLine="1268"/>
        <w:spacing w:after="0" w:line="230" w:lineRule="auto"/>
        <w:tabs>
          <w:tab w:leader="none" w:pos="189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to calculate or determine the Redemption Price of the Treasury Rate.</w:t>
      </w:r>
    </w:p>
    <w:p>
      <w:pPr>
        <w:spacing w:after="0" w:line="147" w:lineRule="exact"/>
        <w:rPr>
          <w:rFonts w:ascii="Times New Roman" w:cs="Times New Roman" w:eastAsia="Times New Roman" w:hAnsi="Times New Roman"/>
          <w:sz w:val="21"/>
          <w:szCs w:val="21"/>
          <w:color w:val="auto"/>
        </w:rPr>
      </w:pPr>
    </w:p>
    <w:p>
      <w:pPr>
        <w:ind w:firstLine="1268"/>
        <w:spacing w:after="0" w:line="243" w:lineRule="auto"/>
        <w:tabs>
          <w:tab w:leader="none" w:pos="189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at any time, and from time to time, purchase the Notes of either series at any price or prices in the open market, through negotiated transactions, by tender offer or otherwise.</w:t>
      </w:r>
    </w:p>
    <w:p>
      <w:pPr>
        <w:spacing w:after="0" w:line="142" w:lineRule="exact"/>
        <w:rPr>
          <w:rFonts w:ascii="Times New Roman" w:cs="Times New Roman" w:eastAsia="Times New Roman" w:hAnsi="Times New Roman"/>
          <w:sz w:val="21"/>
          <w:szCs w:val="21"/>
          <w:color w:val="auto"/>
        </w:rPr>
      </w:pPr>
    </w:p>
    <w:p>
      <w:pPr>
        <w:jc w:val="both"/>
        <w:ind w:firstLine="1255"/>
        <w:spacing w:after="0" w:line="230" w:lineRule="auto"/>
        <w:tabs>
          <w:tab w:leader="none" w:pos="189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no obligation to make mandatory redemption of the Notes or to redeem, purchase or repay Notes pursuant to any sinking fund or analogous provision or, except as provided in Section 4.10, at the option of a Holder thereof.</w:t>
      </w:r>
    </w:p>
    <w:p>
      <w:pPr>
        <w:spacing w:after="0" w:line="147" w:lineRule="exact"/>
        <w:rPr>
          <w:rFonts w:ascii="Times New Roman" w:cs="Times New Roman" w:eastAsia="Times New Roman" w:hAnsi="Times New Roman"/>
          <w:sz w:val="21"/>
          <w:szCs w:val="21"/>
          <w:color w:val="auto"/>
        </w:rPr>
      </w:pPr>
    </w:p>
    <w:p>
      <w:pPr>
        <w:jc w:val="both"/>
        <w:ind w:firstLine="1255"/>
        <w:spacing w:after="0" w:line="230" w:lineRule="auto"/>
        <w:tabs>
          <w:tab w:leader="none" w:pos="189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redemption occurring prior to the applicable Par Call Date, the Company shall deliver notice to the Trustee of the related Redemption Price promptly after the calculation thereof and the Trustee shall not have any responsibility for such calculation.</w:t>
      </w:r>
    </w:p>
    <w:p>
      <w:pPr>
        <w:spacing w:after="0" w:line="148"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21"/>
          <w:szCs w:val="21"/>
          <w:color w:val="auto"/>
        </w:rPr>
        <w:t>ARTICLE 4</w:t>
      </w:r>
    </w:p>
    <w:p>
      <w:pPr>
        <w:spacing w:after="0" w:line="176"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21"/>
          <w:szCs w:val="21"/>
          <w:b w:val="1"/>
          <w:bCs w:val="1"/>
          <w:color w:val="auto"/>
        </w:rPr>
        <w:t>Covenants</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covenants shall be added to Article IV of the Indenture for the benefit of Holders, but only with respect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Notes:</w:t>
      </w:r>
    </w:p>
    <w:p>
      <w:pPr>
        <w:spacing w:after="0" w:line="18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1"/>
          <w:szCs w:val="21"/>
          <w:u w:val="single" w:color="auto"/>
          <w:color w:val="auto"/>
        </w:rPr>
        <w:t>Restrictions on Secured Debt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63"/>
        <w:spacing w:after="0" w:line="254" w:lineRule="auto"/>
        <w:rPr>
          <w:sz w:val="20"/>
          <w:szCs w:val="20"/>
          <w:color w:val="auto"/>
        </w:rPr>
      </w:pPr>
      <w:r>
        <w:rPr>
          <w:rFonts w:ascii="Times New Roman" w:cs="Times New Roman" w:eastAsia="Times New Roman" w:hAnsi="Times New Roman"/>
          <w:sz w:val="21"/>
          <w:szCs w:val="21"/>
          <w:color w:val="auto"/>
        </w:rPr>
        <w:t>The Company shall not, and the Company shall not permit any Restricted Subsidiary to, incur, issue, assume or guarantee any notes, bonds, debentures or other similar evidences of indebtedness for money borrowed (“</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secured by pledge of, or mortgage or lien on, any Principal Property, or any shares of Capital Stock of or Debt of any Restricted Subsidiary (such pledges, mortgages and liens being called “</w:t>
      </w:r>
      <w:r>
        <w:rPr>
          <w:rFonts w:ascii="Times New Roman" w:cs="Times New Roman" w:eastAsia="Times New Roman" w:hAnsi="Times New Roman"/>
          <w:sz w:val="21"/>
          <w:szCs w:val="21"/>
          <w:u w:val="single" w:color="auto"/>
          <w:color w:val="auto"/>
        </w:rPr>
        <w:t>Mortgage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and such Debt secured by such Mortgages being called “</w:t>
      </w:r>
      <w:r>
        <w:rPr>
          <w:rFonts w:ascii="Times New Roman" w:cs="Times New Roman" w:eastAsia="Times New Roman" w:hAnsi="Times New Roman"/>
          <w:sz w:val="21"/>
          <w:szCs w:val="21"/>
          <w:u w:val="single" w:color="auto"/>
          <w:color w:val="auto"/>
        </w:rPr>
        <w:t>Secured Debt</w:t>
      </w:r>
      <w:r>
        <w:rPr>
          <w:rFonts w:ascii="Times New Roman" w:cs="Times New Roman" w:eastAsia="Times New Roman" w:hAnsi="Times New Roman"/>
          <w:sz w:val="21"/>
          <w:szCs w:val="21"/>
          <w:color w:val="auto"/>
        </w:rPr>
        <w:t>”), without effectively providing that the Notes (together with, if the Company shall so determine, any other indebtedness of the Company or such Restricted Subsidiary then existing or thereafter created which is not subordinate to the Notes) shall be secured equally and ratably with (or prior to) such Secured Debt, so long as such Secured Debt shall be so secured, unless after giving effect thereto, the aggregate amount of all such Secured Debt plus all Attributable Debt of the Company and its Restricted Subsidiaries in respect of any Sale and Leaseback Transaction would not, at the time of such incurrence, issuance, assumption or guarantee, exceed 15% of Consolidated Net Tangible Assets; provided, however, that this restriction shall not apply to, and there shall be excluded from Secured Debt in any computation under such restriction, indebtedness secured by:</w:t>
      </w:r>
    </w:p>
    <w:p>
      <w:pPr>
        <w:spacing w:after="0" w:line="142" w:lineRule="exact"/>
        <w:rPr>
          <w:sz w:val="20"/>
          <w:szCs w:val="20"/>
          <w:color w:val="auto"/>
        </w:rPr>
      </w:pPr>
    </w:p>
    <w:p>
      <w:pPr>
        <w:ind w:left="1900" w:hanging="632"/>
        <w:spacing w:after="0"/>
        <w:tabs>
          <w:tab w:leader="none" w:pos="19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on such property or shares of Capital Stock or Debt existing on the date of this Supplemental</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Indenture;</w:t>
      </w:r>
    </w:p>
    <w:p>
      <w:pPr>
        <w:spacing w:after="0" w:line="155" w:lineRule="exact"/>
        <w:rPr>
          <w:rFonts w:ascii="Times New Roman" w:cs="Times New Roman" w:eastAsia="Times New Roman" w:hAnsi="Times New Roman"/>
          <w:sz w:val="21"/>
          <w:szCs w:val="21"/>
          <w:color w:val="auto"/>
        </w:rPr>
      </w:pPr>
    </w:p>
    <w:p>
      <w:pPr>
        <w:ind w:left="640" w:firstLine="628"/>
        <w:spacing w:after="0" w:line="243" w:lineRule="auto"/>
        <w:tabs>
          <w:tab w:leader="none" w:pos="189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on such property or shares of Capital Stock of or Debt of any Person, which Mortgages are existing at the time (i) such Person became a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8" w:right="339" w:bottom="1440" w:gutter="0" w:footer="0" w:header="0"/>
        </w:sectPr>
      </w:pPr>
    </w:p>
    <w:bookmarkStart w:id="131" w:name="page132"/>
    <w:bookmarkEnd w:id="131"/>
    <w:p>
      <w:pPr>
        <w:jc w:val="both"/>
        <w:ind w:left="640"/>
        <w:spacing w:after="0" w:line="225" w:lineRule="auto"/>
        <w:rPr>
          <w:sz w:val="20"/>
          <w:szCs w:val="20"/>
          <w:color w:val="auto"/>
        </w:rPr>
      </w:pPr>
      <w:r>
        <w:rPr>
          <w:rFonts w:ascii="Times New Roman" w:cs="Times New Roman" w:eastAsia="Times New Roman" w:hAnsi="Times New Roman"/>
          <w:sz w:val="21"/>
          <w:szCs w:val="21"/>
          <w:color w:val="auto"/>
        </w:rPr>
        <w:t>Subsidiary, (ii) such Person is merged into or consolidated with the Company or any Subsidiary or (iii) the Company or a Subsidiary merges into or consolidates with such Person (in a transaction in which such Person becomes a Restricted Subsidiary), which Mortgage was not incurred in anticipation of such transaction and was outstanding prior to such transaction;</w:t>
      </w:r>
    </w:p>
    <w:p>
      <w:pPr>
        <w:spacing w:after="0" w:line="147" w:lineRule="exact"/>
        <w:rPr>
          <w:sz w:val="20"/>
          <w:szCs w:val="20"/>
          <w:color w:val="auto"/>
        </w:rPr>
      </w:pPr>
    </w:p>
    <w:p>
      <w:pPr>
        <w:ind w:left="1900" w:hanging="632"/>
        <w:spacing w:after="0"/>
        <w:tabs>
          <w:tab w:leader="none" w:pos="19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in favor of the Company;</w:t>
      </w:r>
    </w:p>
    <w:p>
      <w:pPr>
        <w:spacing w:after="0" w:line="179" w:lineRule="exact"/>
        <w:rPr>
          <w:rFonts w:ascii="Times New Roman" w:cs="Times New Roman" w:eastAsia="Times New Roman" w:hAnsi="Times New Roman"/>
          <w:sz w:val="21"/>
          <w:szCs w:val="21"/>
          <w:color w:val="auto"/>
        </w:rPr>
      </w:pPr>
    </w:p>
    <w:p>
      <w:pPr>
        <w:jc w:val="both"/>
        <w:ind w:left="640" w:firstLine="628"/>
        <w:spacing w:after="0" w:line="225" w:lineRule="auto"/>
        <w:tabs>
          <w:tab w:leader="none" w:pos="189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in favor of a governmental entity or in favor of the holders of securities issued by any such entity, pursuant to any contract or statute (including Mortgages to secure debt of the pollution control or industrial revenue bond type) or to secure any indebtedness incurred for the purpose of financing all or any part of the purchase price or the cost of construction of the property subject to such Mortgages;</w:t>
      </w:r>
    </w:p>
    <w:p>
      <w:pPr>
        <w:spacing w:after="0" w:line="147" w:lineRule="exact"/>
        <w:rPr>
          <w:rFonts w:ascii="Times New Roman" w:cs="Times New Roman" w:eastAsia="Times New Roman" w:hAnsi="Times New Roman"/>
          <w:sz w:val="21"/>
          <w:szCs w:val="21"/>
          <w:color w:val="auto"/>
        </w:rPr>
      </w:pPr>
    </w:p>
    <w:p>
      <w:pPr>
        <w:ind w:left="640" w:firstLine="628"/>
        <w:spacing w:after="0" w:line="243" w:lineRule="auto"/>
        <w:tabs>
          <w:tab w:leader="none" w:pos="19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in favor of any governmental entity to secure progress, advance or other payments pursuant to any contract or provision of any statute;</w:t>
      </w:r>
    </w:p>
    <w:p>
      <w:pPr>
        <w:spacing w:after="0" w:line="142" w:lineRule="exact"/>
        <w:rPr>
          <w:rFonts w:ascii="Times New Roman" w:cs="Times New Roman" w:eastAsia="Times New Roman" w:hAnsi="Times New Roman"/>
          <w:sz w:val="21"/>
          <w:szCs w:val="21"/>
          <w:color w:val="auto"/>
        </w:rPr>
      </w:pPr>
    </w:p>
    <w:p>
      <w:pPr>
        <w:ind w:left="640" w:firstLine="628"/>
        <w:spacing w:after="0" w:line="243" w:lineRule="auto"/>
        <w:tabs>
          <w:tab w:leader="none" w:pos="190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on such property or shares of Capital Stock or Debt existing at the time of acquisition thereof (including acquisition through merger or consolidation);</w:t>
      </w:r>
    </w:p>
    <w:p>
      <w:pPr>
        <w:spacing w:after="0" w:line="142" w:lineRule="exact"/>
        <w:rPr>
          <w:rFonts w:ascii="Times New Roman" w:cs="Times New Roman" w:eastAsia="Times New Roman" w:hAnsi="Times New Roman"/>
          <w:sz w:val="21"/>
          <w:szCs w:val="21"/>
          <w:color w:val="auto"/>
        </w:rPr>
      </w:pPr>
    </w:p>
    <w:p>
      <w:pPr>
        <w:jc w:val="both"/>
        <w:ind w:left="640" w:firstLine="628"/>
        <w:spacing w:after="0" w:line="225" w:lineRule="auto"/>
        <w:tabs>
          <w:tab w:leader="none" w:pos="189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on such property or shares of Capital Stock or Debt to secure the payment of all or any part of the purchase price or construction cost thereof or to secure any Debt incurred prior to, at the time of, or within 180 days after, the acquisition of such property or shares or Debt, the completion of any construction or the commencement of full operation, for the purpose of financing all or any part of the purchase price or construction cost thereof;</w:t>
      </w:r>
    </w:p>
    <w:p>
      <w:pPr>
        <w:spacing w:after="0" w:line="147" w:lineRule="exact"/>
        <w:rPr>
          <w:rFonts w:ascii="Times New Roman" w:cs="Times New Roman" w:eastAsia="Times New Roman" w:hAnsi="Times New Roman"/>
          <w:sz w:val="21"/>
          <w:szCs w:val="21"/>
          <w:color w:val="auto"/>
        </w:rPr>
      </w:pPr>
    </w:p>
    <w:p>
      <w:pPr>
        <w:ind w:left="640" w:firstLine="628"/>
        <w:spacing w:after="0" w:line="243" w:lineRule="auto"/>
        <w:tabs>
          <w:tab w:leader="none" w:pos="189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incurred in connection with a Sale and Leaseback Transaction satisfying the provisions set forth in Section 4.09; and</w:t>
      </w:r>
    </w:p>
    <w:p>
      <w:pPr>
        <w:spacing w:after="0" w:line="142" w:lineRule="exact"/>
        <w:rPr>
          <w:rFonts w:ascii="Times New Roman" w:cs="Times New Roman" w:eastAsia="Times New Roman" w:hAnsi="Times New Roman"/>
          <w:sz w:val="21"/>
          <w:szCs w:val="21"/>
          <w:color w:val="auto"/>
        </w:rPr>
      </w:pPr>
    </w:p>
    <w:p>
      <w:pPr>
        <w:jc w:val="both"/>
        <w:ind w:left="640" w:firstLine="628"/>
        <w:spacing w:after="0" w:line="225" w:lineRule="auto"/>
        <w:tabs>
          <w:tab w:leader="none" w:pos="189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extension, renewal or replacement (or successive extensions, renewals or replacements), as a whole or in part, of any Mortgage referred to in the foregoing clauses; provided that such extension, renewal or replacement Mortgage shall be limited to all or a part of the same such property or shares of Capital Stock or Debt that secured the Mortgage extended, renewed or replaced (plus improvements on such property).</w:t>
      </w:r>
    </w:p>
    <w:p>
      <w:pPr>
        <w:spacing w:after="0" w:line="14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u w:val="single" w:color="auto"/>
          <w:color w:val="auto"/>
        </w:rPr>
        <w:t>Limitations on Sale and Leaseback Transactions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63"/>
        <w:spacing w:after="0" w:line="256" w:lineRule="auto"/>
        <w:rPr>
          <w:sz w:val="20"/>
          <w:szCs w:val="20"/>
          <w:color w:val="auto"/>
        </w:rPr>
      </w:pPr>
      <w:r>
        <w:rPr>
          <w:rFonts w:ascii="Times New Roman" w:cs="Times New Roman" w:eastAsia="Times New Roman" w:hAnsi="Times New Roman"/>
          <w:sz w:val="21"/>
          <w:szCs w:val="21"/>
          <w:color w:val="auto"/>
        </w:rPr>
        <w:t>The Company shall not, and shall not permit any Restricted Subsidiary to, enter into any arrangement with any bank, insurance company or other lender or investor (not including the Company or any Restricted Subsidiary) or to which any such lender or investor is a party, providing for the leasing by the Company or a Restricted Subsidiary for a period, including renewals, in excess of three years of any Principal Property the ownership of which has been or is to be sold or transferred, more than 180 days after the completion of construction and commencement of full operation thereof, by the Company or such Restricted Subsidiary to such lender or investor or to any Person to whom funds have been or are to be advanced by such lender or investor on the security of such Principal Property (referred to as a “</w:t>
      </w:r>
      <w:r>
        <w:rPr>
          <w:rFonts w:ascii="Times New Roman" w:cs="Times New Roman" w:eastAsia="Times New Roman" w:hAnsi="Times New Roman"/>
          <w:sz w:val="21"/>
          <w:szCs w:val="21"/>
          <w:u w:val="single" w:color="auto"/>
          <w:color w:val="auto"/>
        </w:rPr>
        <w:t>Sale and Leaseback Transaction</w:t>
      </w:r>
      <w:r>
        <w:rPr>
          <w:rFonts w:ascii="Times New Roman" w:cs="Times New Roman" w:eastAsia="Times New Roman" w:hAnsi="Times New Roman"/>
          <w:sz w:val="21"/>
          <w:szCs w:val="21"/>
          <w:color w:val="auto"/>
        </w:rPr>
        <w:t>”) unless:</w:t>
      </w:r>
    </w:p>
    <w:p>
      <w:pPr>
        <w:spacing w:after="0" w:line="144" w:lineRule="exact"/>
        <w:rPr>
          <w:sz w:val="20"/>
          <w:szCs w:val="20"/>
          <w:color w:val="auto"/>
        </w:rPr>
      </w:pPr>
    </w:p>
    <w:p>
      <w:pPr>
        <w:ind w:left="1900" w:hanging="632"/>
        <w:spacing w:after="0"/>
        <w:tabs>
          <w:tab w:leader="none" w:pos="19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Sale and Leaseback Transaction is with a governmental entity that provides financial or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2" w:right="339" w:bottom="1440" w:gutter="0" w:footer="0" w:header="0"/>
        </w:sectPr>
      </w:pPr>
    </w:p>
    <w:bookmarkStart w:id="132" w:name="page133"/>
    <w:bookmarkEnd w:id="132"/>
    <w:p>
      <w:pPr>
        <w:jc w:val="both"/>
        <w:ind w:left="640" w:firstLine="628"/>
        <w:spacing w:after="0" w:line="230" w:lineRule="auto"/>
        <w:tabs>
          <w:tab w:leader="none" w:pos="189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such Restricted Subsidiary could create Secured Debt pursuant to the provisions set forth in Section 4.08 on the Principal Property to be leased in an amount equal to the Attributable Debt with respect to such Sale and Leaseback Transaction without equally and ratably securing the Notes; or</w:t>
      </w:r>
    </w:p>
    <w:p>
      <w:pPr>
        <w:spacing w:after="0" w:line="147" w:lineRule="exact"/>
        <w:rPr>
          <w:rFonts w:ascii="Times New Roman" w:cs="Times New Roman" w:eastAsia="Times New Roman" w:hAnsi="Times New Roman"/>
          <w:sz w:val="21"/>
          <w:szCs w:val="21"/>
          <w:color w:val="auto"/>
        </w:rPr>
      </w:pPr>
    </w:p>
    <w:p>
      <w:pPr>
        <w:jc w:val="both"/>
        <w:ind w:left="640" w:firstLine="628"/>
        <w:spacing w:after="0" w:line="211" w:lineRule="auto"/>
        <w:tabs>
          <w:tab w:leader="none" w:pos="19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proceeds of the sale or transfer of the Principal Property leased pursuant to such Sale and Leaseback Transaction is at least equal to the Fair Market Value of such Principal Property and within 180 days after such sale or transfer shall have been made by the Company or by a Restricted Subsidiary, the Company shall apply an amount not less than the greater of (i) the net proceeds of the sale of the Principal Property leased pursuant to such arrangement or (ii) the Fair Market Value of the Principal Property so leased at the time of entering into such arrangement (as evidenced by an Officers’ Certificate delivered to the Trustee) to the retirement of Funded Debt of the Company; provided that the amount to be applied to the retirement of Funded Debt of the Company shall be reduced by (x) the principal amount of Notes delivered within 180 days after such sale to the Trustee for retirement and cancellation, and (y) the principal amount of Funded Debt other than Notes, voluntarily retired by the Company within 180 days after such sale. No retirement referred to in this clause</w:t>
      </w:r>
    </w:p>
    <w:p>
      <w:pPr>
        <w:spacing w:after="0" w:line="8" w:lineRule="exact"/>
        <w:rPr>
          <w:rFonts w:ascii="Times New Roman" w:cs="Times New Roman" w:eastAsia="Times New Roman" w:hAnsi="Times New Roman"/>
          <w:sz w:val="21"/>
          <w:szCs w:val="21"/>
          <w:color w:val="auto"/>
        </w:rPr>
      </w:pPr>
    </w:p>
    <w:p>
      <w:pPr>
        <w:ind w:left="640" w:hanging="3"/>
        <w:spacing w:after="0" w:line="229" w:lineRule="auto"/>
        <w:tabs>
          <w:tab w:leader="none" w:pos="94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be effected by payment at maturity or pursuant to any mandatory sinking fund payment or mandatory prepayment provision.</w:t>
      </w:r>
    </w:p>
    <w:p>
      <w:pPr>
        <w:spacing w:after="0" w:line="14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4.03.</w:t>
      </w:r>
      <w:r>
        <w:rPr>
          <w:sz w:val="20"/>
          <w:szCs w:val="20"/>
          <w:color w:val="auto"/>
        </w:rPr>
        <w:tab/>
      </w:r>
      <w:r>
        <w:rPr>
          <w:rFonts w:ascii="Times New Roman" w:cs="Times New Roman" w:eastAsia="Times New Roman" w:hAnsi="Times New Roman"/>
          <w:sz w:val="20"/>
          <w:szCs w:val="20"/>
          <w:u w:val="single" w:color="auto"/>
          <w:color w:val="auto"/>
        </w:rPr>
        <w:t>Change of Control Triggering Event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8"/>
        <w:spacing w:after="0" w:line="255" w:lineRule="auto"/>
        <w:tabs>
          <w:tab w:leader="none" w:pos="189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of Control Triggering Event, unless the Company, subject to Section 4.10(d), has exercised its right to redeem the Notes of either series in accordance with Section 3.12, each Holder of the Notes of such series will have the right to require the Company to purchase all or a portion ($1,000 or an integral multiple of $1,000 in excess thereof) of such Holder’s Notes of such series pursuant to the offer described below (the “</w:t>
      </w:r>
      <w:r>
        <w:rPr>
          <w:rFonts w:ascii="Times New Roman" w:cs="Times New Roman" w:eastAsia="Times New Roman" w:hAnsi="Times New Roman"/>
          <w:sz w:val="21"/>
          <w:szCs w:val="21"/>
          <w:u w:val="single" w:color="auto"/>
          <w:color w:val="auto"/>
        </w:rPr>
        <w:t>Change of Control Offer</w:t>
      </w:r>
      <w:r>
        <w:rPr>
          <w:rFonts w:ascii="Times New Roman" w:cs="Times New Roman" w:eastAsia="Times New Roman" w:hAnsi="Times New Roman"/>
          <w:sz w:val="21"/>
          <w:szCs w:val="21"/>
          <w:color w:val="auto"/>
        </w:rPr>
        <w:t>”), at a purchase price equal to 101% of the principal amount thereof plus accrued and unpaid interest, if any, to, but not including, the date of purchase (the “</w:t>
      </w:r>
      <w:r>
        <w:rPr>
          <w:rFonts w:ascii="Times New Roman" w:cs="Times New Roman" w:eastAsia="Times New Roman" w:hAnsi="Times New Roman"/>
          <w:sz w:val="21"/>
          <w:szCs w:val="21"/>
          <w:u w:val="single" w:color="auto"/>
          <w:color w:val="auto"/>
        </w:rPr>
        <w:t>Change of Control Payment</w:t>
      </w:r>
      <w:r>
        <w:rPr>
          <w:rFonts w:ascii="Times New Roman" w:cs="Times New Roman" w:eastAsia="Times New Roman" w:hAnsi="Times New Roman"/>
          <w:sz w:val="21"/>
          <w:szCs w:val="21"/>
          <w:color w:val="auto"/>
        </w:rPr>
        <w:t>”), subject to the rights of Holders of the Notes of such series on the relevant record date to receive interest due on the relevant Interest Payment Date; provided that the principal amount of a Note of such series remaining outstanding after a repurchase in part shall be $2,000 or an integral multiple of $1,000 in excess thereof.</w:t>
      </w:r>
    </w:p>
    <w:p>
      <w:pPr>
        <w:spacing w:after="0" w:line="184" w:lineRule="exact"/>
        <w:rPr>
          <w:rFonts w:ascii="Times New Roman" w:cs="Times New Roman" w:eastAsia="Times New Roman" w:hAnsi="Times New Roman"/>
          <w:sz w:val="21"/>
          <w:szCs w:val="21"/>
          <w:color w:val="auto"/>
        </w:rPr>
      </w:pPr>
    </w:p>
    <w:p>
      <w:pPr>
        <w:jc w:val="both"/>
        <w:ind w:firstLine="1268"/>
        <w:spacing w:after="0" w:line="254" w:lineRule="auto"/>
        <w:tabs>
          <w:tab w:leader="none" w:pos="189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following the date upon which the Change of Control Triggering Event occurred, or at the Company’s option, prior to any Change of Control but after the public announcement of the pending Change of Control, the Company shall deliver a notice to each Holder of Notes that were not redeemed, with a copy to the Trustee, which notice shall govern the terms of the Change of Control Offer. Such notice will, among other things, state the purchase date, which must be no earlier than 30 days nor later than 60 days from the date such notice is sent, other than as may be required by applicable law (the “</w:t>
      </w:r>
      <w:r>
        <w:rPr>
          <w:rFonts w:ascii="Times New Roman" w:cs="Times New Roman" w:eastAsia="Times New Roman" w:hAnsi="Times New Roman"/>
          <w:sz w:val="21"/>
          <w:szCs w:val="21"/>
          <w:u w:val="single" w:color="auto"/>
          <w:color w:val="auto"/>
        </w:rPr>
        <w:t>Change of Control Payment Date</w:t>
      </w:r>
      <w:r>
        <w:rPr>
          <w:rFonts w:ascii="Times New Roman" w:cs="Times New Roman" w:eastAsia="Times New Roman" w:hAnsi="Times New Roman"/>
          <w:sz w:val="21"/>
          <w:szCs w:val="21"/>
          <w:color w:val="auto"/>
        </w:rPr>
        <w:t>”), describe the transaction or transactions constituting the Change of Control Triggering Event and offer to repurchase the Notes. The notice, if sent prior to the date of consummation of the Change of Control, shall state that the Change of Control Offer is conditioned on the Change of Control being consummated on or prior to the Change of Control Payment Date.</w:t>
      </w:r>
    </w:p>
    <w:p>
      <w:pPr>
        <w:spacing w:after="0" w:line="173"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Change of Control Payment Date, the Company shall, to the extent 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2" w:right="339" w:bottom="1440" w:gutter="0" w:footer="0" w:header="0"/>
        </w:sectPr>
      </w:pPr>
    </w:p>
    <w:bookmarkStart w:id="133" w:name="page134"/>
    <w:bookmarkEnd w:id="133"/>
    <w:p>
      <w:pPr>
        <w:ind w:left="640" w:firstLine="1265"/>
        <w:spacing w:after="0" w:line="243" w:lineRule="auto"/>
        <w:tabs>
          <w:tab w:leader="none" w:pos="2528"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 or cause a third party to accept for payment all Notes or portions of Notes properly tendered pursuant to the Change of Control Offer;</w:t>
      </w:r>
    </w:p>
    <w:p>
      <w:pPr>
        <w:spacing w:after="0" w:line="142" w:lineRule="exact"/>
        <w:rPr>
          <w:rFonts w:ascii="Times New Roman" w:cs="Times New Roman" w:eastAsia="Times New Roman" w:hAnsi="Times New Roman"/>
          <w:sz w:val="21"/>
          <w:szCs w:val="21"/>
          <w:color w:val="auto"/>
        </w:rPr>
      </w:pPr>
    </w:p>
    <w:p>
      <w:pPr>
        <w:ind w:left="640" w:firstLine="1265"/>
        <w:spacing w:after="0" w:line="243" w:lineRule="auto"/>
        <w:tabs>
          <w:tab w:leader="none" w:pos="2534"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 or cause a third party to deposit with the Paying Agent an amount equal to the Change of Control Payment in respect of all Notes or portions of Notes properly tendered; and</w:t>
      </w:r>
    </w:p>
    <w:p>
      <w:pPr>
        <w:spacing w:after="0" w:line="142" w:lineRule="exact"/>
        <w:rPr>
          <w:rFonts w:ascii="Times New Roman" w:cs="Times New Roman" w:eastAsia="Times New Roman" w:hAnsi="Times New Roman"/>
          <w:sz w:val="21"/>
          <w:szCs w:val="21"/>
          <w:color w:val="auto"/>
        </w:rPr>
      </w:pPr>
    </w:p>
    <w:p>
      <w:pPr>
        <w:jc w:val="both"/>
        <w:ind w:left="640" w:firstLine="1265"/>
        <w:spacing w:after="0" w:line="225" w:lineRule="auto"/>
        <w:tabs>
          <w:tab w:leader="none" w:pos="252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or cause to be delivered to the Trustee the Notes to be redeemed properly accepted together with an Officers’ Certificate stating the aggregate principal amount of Notes or portions of Notes being repurchased and that all conditions precedent to the Change of Control Offer and to the repurchase by the Company of Notes pursuant to the Change of Control Offer have been complied with.</w:t>
      </w:r>
    </w:p>
    <w:p>
      <w:pPr>
        <w:spacing w:after="0" w:line="173" w:lineRule="exact"/>
        <w:rPr>
          <w:rFonts w:ascii="Times New Roman" w:cs="Times New Roman" w:eastAsia="Times New Roman" w:hAnsi="Times New Roman"/>
          <w:sz w:val="21"/>
          <w:szCs w:val="21"/>
          <w:color w:val="auto"/>
        </w:rPr>
      </w:pPr>
    </w:p>
    <w:p>
      <w:pPr>
        <w:jc w:val="both"/>
        <w:ind w:firstLine="1268"/>
        <w:spacing w:after="0" w:line="260" w:lineRule="auto"/>
        <w:tabs>
          <w:tab w:leader="none" w:pos="189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not be required to make a Change of Control Offer with respect to the Notes of either series if (i) a third party makes such an offer in the manner, at the times and otherwise in compliance with the requirements for such an offer otherwise required to be made by the Company and such third party purchases all such Notes of such series properly tendered and not withdrawn under its offer or (ii) a notice of redemption has been given to the Holders of all of the Notes of such series in accordance with the terms of the Indenture, unless and until there is a default in payment of the Redemption Price.</w:t>
      </w:r>
    </w:p>
    <w:p>
      <w:pPr>
        <w:spacing w:after="0" w:line="165"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9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of Control Offer may be made in advance of a Change of Control, conditional upon such Change of Control, if a definitive agreement is in place with respect to the Change of Control at the time of making of the Change of Control Offer.</w:t>
      </w:r>
    </w:p>
    <w:p>
      <w:pPr>
        <w:spacing w:after="0" w:line="173" w:lineRule="exact"/>
        <w:rPr>
          <w:rFonts w:ascii="Times New Roman" w:cs="Times New Roman" w:eastAsia="Times New Roman" w:hAnsi="Times New Roman"/>
          <w:sz w:val="21"/>
          <w:szCs w:val="21"/>
          <w:color w:val="auto"/>
        </w:rPr>
      </w:pPr>
    </w:p>
    <w:p>
      <w:pPr>
        <w:jc w:val="both"/>
        <w:ind w:firstLine="1268"/>
        <w:spacing w:after="0" w:line="256" w:lineRule="auto"/>
        <w:tabs>
          <w:tab w:leader="none" w:pos="189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this Section 4.10, the Company will comply with those securities laws and regulations and will not be deemed to have breached its obligations under this Section 4.10 by virtue of any such conflict.</w:t>
      </w:r>
    </w:p>
    <w:p>
      <w:pPr>
        <w:spacing w:after="0" w:line="146"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21"/>
          <w:szCs w:val="21"/>
          <w:color w:val="auto"/>
        </w:rPr>
        <w:t>ARTICLE 5</w:t>
      </w:r>
    </w:p>
    <w:p>
      <w:pPr>
        <w:spacing w:after="0" w:line="176"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21"/>
          <w:szCs w:val="21"/>
          <w:b w:val="1"/>
          <w:bCs w:val="1"/>
          <w:color w:val="auto"/>
        </w:rPr>
        <w:t>Trustee</w:t>
      </w:r>
    </w:p>
    <w:p>
      <w:pPr>
        <w:spacing w:after="0" w:line="18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0"/>
          <w:szCs w:val="20"/>
          <w:u w:val="single" w:color="auto"/>
          <w:color w:val="auto"/>
        </w:rPr>
        <w:t>Notice of Defaults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3"/>
        <w:spacing w:after="0" w:line="295" w:lineRule="auto"/>
        <w:rPr>
          <w:sz w:val="20"/>
          <w:szCs w:val="20"/>
          <w:color w:val="auto"/>
        </w:rPr>
      </w:pPr>
      <w:r>
        <w:rPr>
          <w:rFonts w:ascii="Times New Roman" w:cs="Times New Roman" w:eastAsia="Times New Roman" w:hAnsi="Times New Roman"/>
          <w:sz w:val="21"/>
          <w:szCs w:val="21"/>
          <w:color w:val="auto"/>
        </w:rPr>
        <w:t>Section 7.05 of the Indenture shall be amended by replacing that section of the Indenture with the following, but only with respect to the Notes:</w:t>
      </w:r>
    </w:p>
    <w:p>
      <w:pPr>
        <w:spacing w:after="0" w:line="130" w:lineRule="exact"/>
        <w:rPr>
          <w:sz w:val="20"/>
          <w:szCs w:val="20"/>
          <w:color w:val="auto"/>
        </w:rPr>
      </w:pPr>
    </w:p>
    <w:p>
      <w:pPr>
        <w:jc w:val="both"/>
        <w:ind w:firstLine="1263"/>
        <w:spacing w:after="0" w:line="260" w:lineRule="auto"/>
        <w:rPr>
          <w:sz w:val="20"/>
          <w:szCs w:val="20"/>
          <w:color w:val="auto"/>
        </w:rPr>
      </w:pPr>
      <w:r>
        <w:rPr>
          <w:rFonts w:ascii="Times New Roman" w:cs="Times New Roman" w:eastAsia="Times New Roman" w:hAnsi="Times New Roman"/>
          <w:sz w:val="21"/>
          <w:szCs w:val="21"/>
          <w:color w:val="auto"/>
        </w:rPr>
        <w:t>If a Default or Event of Default with respect to the Securities of any series occurs and is continuing and the Trustee is notified in writing of such default or event of default, the Trustee shall send to Holders of Securities of such series a notice of the Default or Event of Default within 90 days after receiving such notice. Except in the case of a Default or Event of Default in payment of principal of, premium (if any) and interest on and Additional Amounts or any sinking fund installment with respect to the Securities of such series, the Trustee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2" w:right="339" w:bottom="1440" w:gutter="0" w:footer="0" w:header="0"/>
        </w:sectPr>
      </w:pPr>
    </w:p>
    <w:bookmarkStart w:id="134" w:name="page135"/>
    <w:bookmarkEnd w:id="134"/>
    <w:p>
      <w:pPr>
        <w:jc w:val="both"/>
        <w:spacing w:after="0" w:line="282" w:lineRule="auto"/>
        <w:rPr>
          <w:sz w:val="20"/>
          <w:szCs w:val="20"/>
          <w:color w:val="auto"/>
        </w:rPr>
      </w:pPr>
      <w:r>
        <w:rPr>
          <w:rFonts w:ascii="Times New Roman" w:cs="Times New Roman" w:eastAsia="Times New Roman" w:hAnsi="Times New Roman"/>
          <w:sz w:val="21"/>
          <w:szCs w:val="21"/>
          <w:color w:val="auto"/>
        </w:rPr>
        <w:t>withhold the notice if and so long as a committee of its Responsible Officers in good faith determines that withholding the notice is in the interests of Holders of Securities of such series.</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6</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8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6.01.</w:t>
      </w:r>
      <w:r>
        <w:rPr>
          <w:sz w:val="20"/>
          <w:szCs w:val="20"/>
          <w:color w:val="auto"/>
        </w:rPr>
        <w:tab/>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63"/>
        <w:spacing w:after="0" w:line="253" w:lineRule="auto"/>
        <w:rPr>
          <w:sz w:val="20"/>
          <w:szCs w:val="20"/>
          <w:color w:val="auto"/>
        </w:rPr>
      </w:pPr>
      <w:r>
        <w:rPr>
          <w:rFonts w:ascii="Times New Roman" w:cs="Times New Roman" w:eastAsia="Times New Roman" w:hAnsi="Times New Roman"/>
          <w:sz w:val="21"/>
          <w:szCs w:val="21"/>
          <w:color w:val="auto"/>
        </w:rPr>
        <w:t>The words “execution,” “executed,” “signed,” “signature,” and words of like import in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may be executed, attested and transmitted by any of the foregoing electronic means and formats and (b) all references in Section 2.04 or elsewhere in the Indenture to the execution or authentication of any Security or any certificate of authentication appearing on or attached to any Security by means of a manual or facsimile signature shall be deemed to include signatures that are made or transmitted by any of the foregoing electronic means or formats.</w:t>
      </w:r>
    </w:p>
    <w:p>
      <w:pPr>
        <w:spacing w:after="0" w:line="15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6.02.</w:t>
      </w:r>
      <w:r>
        <w:rPr>
          <w:sz w:val="20"/>
          <w:szCs w:val="20"/>
          <w:color w:val="auto"/>
        </w:rPr>
        <w:tab/>
      </w: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Section 11.08 of the Indenture shall be amended by replacing that section of the Indenture with the following, but only with respect to the Notes:</w:t>
      </w:r>
    </w:p>
    <w:p>
      <w:pPr>
        <w:spacing w:after="0" w:line="156" w:lineRule="exact"/>
        <w:rPr>
          <w:sz w:val="20"/>
          <w:szCs w:val="20"/>
          <w:color w:val="auto"/>
        </w:rPr>
      </w:pPr>
    </w:p>
    <w:p>
      <w:pPr>
        <w:jc w:val="both"/>
        <w:ind w:firstLine="1263"/>
        <w:spacing w:after="0" w:line="256" w:lineRule="auto"/>
        <w:rPr>
          <w:sz w:val="20"/>
          <w:szCs w:val="20"/>
          <w:color w:val="auto"/>
        </w:rPr>
      </w:pPr>
      <w:r>
        <w:rPr>
          <w:rFonts w:ascii="Times New Roman" w:cs="Times New Roman" w:eastAsia="Times New Roman" w:hAnsi="Times New Roman"/>
          <w:sz w:val="21"/>
          <w:szCs w:val="21"/>
          <w:color w:val="auto"/>
        </w:rPr>
        <w:t>A director, officer, member, manager, employee, stockholder, partner or other owner of the Company or the Trustee, as such, shall not have any liability for any obligations of the Company under the Notes or for any obligations of the Company or the Trustee under this Indenture or for any claim based on, in respect of or by reason of such obligations or their creation. Each Holder by accepting a Note waives and releases all such liability. The waiver and release shall be part of the consideration for the issuance of Notes.</w:t>
      </w:r>
    </w:p>
    <w:p>
      <w:pPr>
        <w:spacing w:after="0" w:line="16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6.03.</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laws of the State of New York shall govern this Supplemental Indenture and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8" w:right="339" w:bottom="1440" w:gutter="0" w:footer="0" w:header="0"/>
        </w:sectPr>
      </w:pPr>
    </w:p>
    <w:bookmarkStart w:id="135" w:name="page136"/>
    <w:bookmarkEnd w:id="135"/>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6.04.</w:t>
      </w:r>
      <w:r>
        <w:rPr>
          <w:sz w:val="20"/>
          <w:szCs w:val="20"/>
          <w:color w:val="auto"/>
        </w:rPr>
        <w:tab/>
      </w:r>
      <w:r>
        <w:rPr>
          <w:rFonts w:ascii="Times New Roman" w:cs="Times New Roman" w:eastAsia="Times New Roman" w:hAnsi="Times New Roman"/>
          <w:sz w:val="20"/>
          <w:szCs w:val="20"/>
          <w:u w:val="single" w:color="auto"/>
          <w:color w:val="auto"/>
        </w:rPr>
        <w:t>No Adverse Interpretation of Other Agreements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This Supplemental Indenture may not be used to interpret another indenture (other than the Indenture), loan or debt agreement of the Company. Any such indenture, loan or debt agreement may not be used to interpret this Supplemental Indenture.</w:t>
      </w:r>
    </w:p>
    <w:p>
      <w:pPr>
        <w:spacing w:after="0" w:line="11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6.05.</w:t>
      </w:r>
      <w:r>
        <w:rPr>
          <w:sz w:val="20"/>
          <w:szCs w:val="20"/>
          <w:color w:val="auto"/>
        </w:rPr>
        <w:tab/>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3"/>
        <w:spacing w:after="0" w:line="295" w:lineRule="auto"/>
        <w:rPr>
          <w:sz w:val="20"/>
          <w:szCs w:val="20"/>
          <w:color w:val="auto"/>
        </w:rPr>
      </w:pPr>
      <w:r>
        <w:rPr>
          <w:rFonts w:ascii="Times New Roman" w:cs="Times New Roman" w:eastAsia="Times New Roman" w:hAnsi="Times New Roman"/>
          <w:sz w:val="21"/>
          <w:szCs w:val="21"/>
          <w:color w:val="auto"/>
        </w:rPr>
        <w:t>All covenants and agreements of the Company in this Supplemental Indenture and the Notes shall bind its successors and assigns. All agreements of the Trustee in this Supplemental Indenture shall bind its successors and assigns.</w:t>
      </w:r>
    </w:p>
    <w:p>
      <w:pPr>
        <w:spacing w:after="0" w:line="10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6.06.</w:t>
      </w:r>
      <w:r>
        <w:rPr>
          <w:sz w:val="20"/>
          <w:szCs w:val="20"/>
          <w:color w:val="auto"/>
        </w:rPr>
        <w:tab/>
      </w:r>
      <w:r>
        <w:rPr>
          <w:rFonts w:ascii="Times New Roman" w:cs="Times New Roman" w:eastAsia="Times New Roman" w:hAnsi="Times New Roman"/>
          <w:sz w:val="20"/>
          <w:szCs w:val="20"/>
          <w:u w:val="single" w:color="auto"/>
          <w:color w:val="auto"/>
        </w:rPr>
        <w:t>Duplicate Originals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color w:val="auto"/>
        </w:rPr>
        <w:t>The parties may sign any number of copies of this Supplemental Indenture. Each signed copy shall be an original, but all of them together represent the same agreement.</w:t>
      </w:r>
    </w:p>
    <w:p>
      <w:pPr>
        <w:spacing w:after="0" w:line="11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6.07.</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63"/>
        <w:spacing w:after="0" w:line="271" w:lineRule="auto"/>
        <w:rPr>
          <w:sz w:val="20"/>
          <w:szCs w:val="20"/>
          <w:color w:val="auto"/>
        </w:rPr>
      </w:pPr>
      <w:r>
        <w:rPr>
          <w:rFonts w:ascii="Times New Roman" w:cs="Times New Roman" w:eastAsia="Times New Roman" w:hAnsi="Times New Roman"/>
          <w:sz w:val="21"/>
          <w:szCs w:val="21"/>
          <w:color w:val="auto"/>
        </w:rPr>
        <w:t>In case any provision in this Supplemental Indenture or in the Notes shall be invalid, illegal or unenforceable, the validity, legality and enforceability of the remaining provisions shall, to the fullest extent permitted by applicable law, not in any way be affected or impaired thereby.</w:t>
      </w:r>
    </w:p>
    <w:p>
      <w:pPr>
        <w:spacing w:after="0" w:line="12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1"/>
          <w:szCs w:val="21"/>
          <w:color w:val="auto"/>
        </w:rPr>
        <w:t>Section 6.08.</w:t>
      </w:r>
      <w:r>
        <w:rPr>
          <w:sz w:val="20"/>
          <w:szCs w:val="20"/>
          <w:color w:val="auto"/>
        </w:rPr>
        <w:tab/>
      </w:r>
      <w:r>
        <w:rPr>
          <w:rFonts w:ascii="Times New Roman" w:cs="Times New Roman" w:eastAsia="Times New Roman" w:hAnsi="Times New Roman"/>
          <w:sz w:val="21"/>
          <w:szCs w:val="21"/>
          <w:u w:val="single" w:color="auto"/>
          <w:color w:val="auto"/>
        </w:rPr>
        <w:t>Amendments to the Indenture Applicable to the Notes Only</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left="1900" w:hanging="632"/>
        <w:spacing w:after="0"/>
        <w:tabs>
          <w:tab w:leader="none" w:pos="19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Notes only, Section 11.07 of the Indenture is amended and restated in its entirety, and shall</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read as follows: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11.07. </w:t>
      </w:r>
      <w:r>
        <w:rPr>
          <w:rFonts w:ascii="Times New Roman" w:cs="Times New Roman" w:eastAsia="Times New Roman" w:hAnsi="Times New Roman"/>
          <w:sz w:val="21"/>
          <w:szCs w:val="21"/>
          <w:i w:val="1"/>
          <w:iCs w:val="1"/>
          <w:color w:val="auto"/>
        </w:rPr>
        <w:t>Business Days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ind w:firstLine="1263"/>
        <w:spacing w:after="0" w:line="282" w:lineRule="auto"/>
        <w:rPr>
          <w:sz w:val="20"/>
          <w:szCs w:val="20"/>
          <w:color w:val="auto"/>
        </w:rPr>
      </w:pPr>
      <w:r>
        <w:rPr>
          <w:rFonts w:ascii="Times New Roman" w:cs="Times New Roman" w:eastAsia="Times New Roman" w:hAnsi="Times New Roman"/>
          <w:sz w:val="21"/>
          <w:szCs w:val="21"/>
          <w:color w:val="auto"/>
        </w:rPr>
        <w:t>If the principal of or any premium or interest on the Notes is payable on a day that is not a Business Day, the payment will be made on the following Business Day, and no interest shall accrue for the intervening period.</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(b) Section 9.01 of the Indenture is supplemented with the addition of the following with respect to the Notes:</w:t>
      </w:r>
    </w:p>
    <w:p>
      <w:pPr>
        <w:spacing w:after="0" w:line="219" w:lineRule="exact"/>
        <w:rPr>
          <w:sz w:val="20"/>
          <w:szCs w:val="20"/>
          <w:color w:val="auto"/>
        </w:rPr>
      </w:pPr>
    </w:p>
    <w:p>
      <w:pPr>
        <w:ind w:left="1900" w:hanging="632"/>
        <w:spacing w:after="0"/>
        <w:tabs>
          <w:tab w:leader="none" w:pos="190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any other modifications which do not adversely affect the interests of the Holders in any material</w:t>
      </w:r>
    </w:p>
    <w:p>
      <w:pPr>
        <w:spacing w:after="0" w:line="34" w:lineRule="exact"/>
        <w:rPr>
          <w:rFonts w:ascii="Times New Roman" w:cs="Times New Roman" w:eastAsia="Times New Roman" w:hAnsi="Times New Roman"/>
          <w:sz w:val="21"/>
          <w:szCs w:val="21"/>
          <w:color w:val="auto"/>
        </w:rPr>
      </w:pPr>
    </w:p>
    <w:p>
      <w:pPr>
        <w:ind w:left="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respect; and</w:t>
      </w:r>
    </w:p>
    <w:p>
      <w:pPr>
        <w:spacing w:after="0" w:line="206" w:lineRule="exact"/>
        <w:rPr>
          <w:rFonts w:ascii="Times New Roman" w:cs="Times New Roman" w:eastAsia="Times New Roman" w:hAnsi="Times New Roman"/>
          <w:sz w:val="21"/>
          <w:szCs w:val="21"/>
          <w:color w:val="auto"/>
        </w:rPr>
      </w:pPr>
    </w:p>
    <w:p>
      <w:pPr>
        <w:ind w:left="320" w:firstLine="948"/>
        <w:spacing w:after="0" w:line="282" w:lineRule="auto"/>
        <w:tabs>
          <w:tab w:leader="none" w:pos="185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conform the provisions of the Indenture or the Notes to the “Description of the Senior Notes” section of the final prospectus supplement relating to the Notes, dated November 4, 2025.</w:t>
      </w:r>
    </w:p>
    <w:p>
      <w:pPr>
        <w:spacing w:after="0" w:line="11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1"/>
          <w:szCs w:val="21"/>
          <w:color w:val="auto"/>
        </w:rPr>
        <w:t>Section 6.09.</w:t>
      </w:r>
      <w:r>
        <w:rPr>
          <w:sz w:val="20"/>
          <w:szCs w:val="20"/>
          <w:color w:val="auto"/>
        </w:rPr>
        <w:tab/>
      </w:r>
      <w:r>
        <w:rPr>
          <w:rFonts w:ascii="Times New Roman" w:cs="Times New Roman" w:eastAsia="Times New Roman" w:hAnsi="Times New Roman"/>
          <w:sz w:val="20"/>
          <w:szCs w:val="20"/>
          <w:u w:val="single" w:color="auto"/>
          <w:color w:val="auto"/>
        </w:rPr>
        <w:t>Rights of Trustee</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firstLine="1263"/>
        <w:spacing w:after="0" w:line="282" w:lineRule="auto"/>
        <w:rPr>
          <w:sz w:val="20"/>
          <w:szCs w:val="20"/>
          <w:color w:val="auto"/>
        </w:rPr>
      </w:pPr>
      <w:r>
        <w:rPr>
          <w:rFonts w:ascii="Times New Roman" w:cs="Times New Roman" w:eastAsia="Times New Roman" w:hAnsi="Times New Roman"/>
          <w:sz w:val="21"/>
          <w:szCs w:val="21"/>
          <w:color w:val="auto"/>
        </w:rPr>
        <w:t>In no event shall the Trustee be responsible or liable for special, indirect, punitive or consequential loss or damage of any kind whatsoever (including, but not limited to, loss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62" w:right="339" w:bottom="144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21"/>
          <w:szCs w:val="21"/>
          <w:color w:val="auto"/>
        </w:rPr>
        <w:t>profit) irrespective of whether the Trustee has been advised of the likelihood of such loss or damage and regardless of the form of action.</w:t>
      </w:r>
    </w:p>
    <w:p>
      <w:pPr>
        <w:spacing w:after="0" w:line="143" w:lineRule="exact"/>
        <w:rPr>
          <w:sz w:val="20"/>
          <w:szCs w:val="20"/>
          <w:color w:val="auto"/>
        </w:rPr>
      </w:pPr>
    </w:p>
    <w:p>
      <w:pPr>
        <w:jc w:val="both"/>
        <w:ind w:firstLine="1263"/>
        <w:spacing w:after="0" w:line="264" w:lineRule="auto"/>
        <w:rPr>
          <w:sz w:val="20"/>
          <w:szCs w:val="20"/>
          <w:color w:val="auto"/>
        </w:rPr>
      </w:pPr>
      <w:r>
        <w:rPr>
          <w:rFonts w:ascii="Times New Roman" w:cs="Times New Roman" w:eastAsia="Times New Roman" w:hAnsi="Times New Roman"/>
          <w:sz w:val="21"/>
          <w:szCs w:val="21"/>
          <w:color w:val="auto"/>
        </w:rPr>
        <w:t>The Trustee may request that the Company deliver an Officers’ Certificate setting forth the names of individuals and/or titles of officers (with specimen signatures) authorized at such times to take specific actions pursuant to this Supplemental Indenture, which Officers’ Certificate may be signed by any person specified as so authorized in any such certificate previously delivered and not superseded.</w:t>
      </w:r>
    </w:p>
    <w:p>
      <w:pPr>
        <w:spacing w:after="0" w:line="13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6.10.</w:t>
      </w:r>
      <w:r>
        <w:rPr>
          <w:sz w:val="20"/>
          <w:szCs w:val="20"/>
          <w:color w:val="auto"/>
        </w:rPr>
        <w:tab/>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50"/>
        <w:spacing w:after="0" w:line="271" w:lineRule="auto"/>
        <w:rPr>
          <w:sz w:val="20"/>
          <w:szCs w:val="20"/>
          <w:color w:val="auto"/>
        </w:rPr>
      </w:pPr>
      <w:r>
        <w:rPr>
          <w:rFonts w:ascii="Times New Roman" w:cs="Times New Roman" w:eastAsia="Times New Roman" w:hAnsi="Times New Roman"/>
          <w:sz w:val="21"/>
          <w:szCs w:val="21"/>
          <w:color w:val="auto"/>
        </w:rPr>
        <w:t>Each of the Company and the Trustee hereby irrevocably waives, to the fullest extent permitted by applicable law, any and all right to trial by jury in any legal proceeding arising out of or relating to this Supplemental Indenture, the Indenture, the Notes or the transactions contemplated hereby.</w:t>
      </w:r>
    </w:p>
    <w:p>
      <w:pPr>
        <w:spacing w:after="0" w:line="12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1"/>
          <w:szCs w:val="21"/>
          <w:color w:val="auto"/>
        </w:rPr>
        <w:t>Section 6.11.</w:t>
      </w:r>
      <w:r>
        <w:rPr>
          <w:sz w:val="20"/>
          <w:szCs w:val="20"/>
          <w:color w:val="auto"/>
        </w:rPr>
        <w:tab/>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50"/>
        <w:spacing w:after="0" w:line="256" w:lineRule="auto"/>
        <w:rPr>
          <w:sz w:val="20"/>
          <w:szCs w:val="20"/>
          <w:color w:val="auto"/>
        </w:rPr>
      </w:pPr>
      <w:r>
        <w:rPr>
          <w:rFonts w:ascii="Times New Roman" w:cs="Times New Roman" w:eastAsia="Times New Roman" w:hAnsi="Times New Roman"/>
          <w:sz w:val="21"/>
          <w:szCs w:val="21"/>
          <w:color w:val="auto"/>
        </w:rPr>
        <w:t>In no event shall the Trustee be responsible or liable for any failure or delay in the performance of its obligations under this Supplemental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w:t>
      </w:r>
    </w:p>
    <w:p>
      <w:pPr>
        <w:spacing w:after="0" w:line="16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6.12.</w:t>
      </w:r>
      <w:r>
        <w:rPr>
          <w:sz w:val="20"/>
          <w:szCs w:val="20"/>
          <w:color w:val="auto"/>
        </w:rPr>
        <w:tab/>
      </w:r>
      <w:r>
        <w:rPr>
          <w:rFonts w:ascii="Times New Roman" w:cs="Times New Roman" w:eastAsia="Times New Roman" w:hAnsi="Times New Roman"/>
          <w:sz w:val="20"/>
          <w:szCs w:val="20"/>
          <w:u w:val="single" w:color="auto"/>
          <w:color w:val="auto"/>
        </w:rPr>
        <w:t>No Recitals, etc.</w:t>
      </w:r>
    </w:p>
    <w:p>
      <w:pPr>
        <w:spacing w:after="0" w:line="206" w:lineRule="exact"/>
        <w:rPr>
          <w:sz w:val="20"/>
          <w:szCs w:val="20"/>
          <w:color w:val="auto"/>
        </w:rPr>
      </w:pPr>
    </w:p>
    <w:p>
      <w:pPr>
        <w:jc w:val="both"/>
        <w:ind w:firstLine="1250"/>
        <w:spacing w:after="0" w:line="282" w:lineRule="auto"/>
        <w:rPr>
          <w:sz w:val="20"/>
          <w:szCs w:val="20"/>
          <w:color w:val="auto"/>
        </w:rPr>
      </w:pPr>
      <w:r>
        <w:rPr>
          <w:rFonts w:ascii="Times New Roman" w:cs="Times New Roman" w:eastAsia="Times New Roman" w:hAnsi="Times New Roman"/>
          <w:sz w:val="21"/>
          <w:szCs w:val="21"/>
          <w:color w:val="auto"/>
        </w:rPr>
        <w:t>The Trustee shall not be responsible in any manner whatsoever for or in respect of the validity or sufficiency of this Supplemental Indenture or for or in respect of the recitals contained herein, all of which are made solely by the Company.</w:t>
      </w:r>
    </w:p>
    <w:p>
      <w:pPr>
        <w:spacing w:after="0" w:line="11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6.13.</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50"/>
        <w:spacing w:after="0" w:line="254" w:lineRule="auto"/>
        <w:rPr>
          <w:sz w:val="20"/>
          <w:szCs w:val="20"/>
          <w:color w:val="auto"/>
        </w:rPr>
      </w:pPr>
      <w:r>
        <w:rPr>
          <w:rFonts w:ascii="Times New Roman" w:cs="Times New Roman" w:eastAsia="Times New Roman" w:hAnsi="Times New Roman"/>
          <w:sz w:val="21"/>
          <w:szCs w:val="21"/>
          <w:color w:val="auto"/>
        </w:rPr>
        <w:t>The Trustee shall have the right to accept and act upon instructions, including funds transfer instructions (for the purposes of this Section, “</w:t>
      </w:r>
      <w:r>
        <w:rPr>
          <w:rFonts w:ascii="Times New Roman" w:cs="Times New Roman" w:eastAsia="Times New Roman" w:hAnsi="Times New Roman"/>
          <w:sz w:val="21"/>
          <w:szCs w:val="21"/>
          <w:u w:val="single" w:color="auto"/>
          <w:color w:val="auto"/>
        </w:rPr>
        <w:t>Instructions</w:t>
      </w:r>
      <w:r>
        <w:rPr>
          <w:rFonts w:ascii="Times New Roman" w:cs="Times New Roman" w:eastAsia="Times New Roman" w:hAnsi="Times New Roman"/>
          <w:sz w:val="21"/>
          <w:szCs w:val="21"/>
          <w:color w:val="auto"/>
        </w:rPr>
        <w:t xml:space="preserve">”) given pursuant to the Indenture and delivered using Electronic Means;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the Company shall provide to the Trustee an incumbency certificate listing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8" w:right="339" w:bottom="1440" w:gutter="0" w:footer="0" w:header="0"/>
        </w:sectPr>
      </w:pPr>
    </w:p>
    <w:bookmarkStart w:id="137" w:name="page138"/>
    <w:bookmarkEnd w:id="137"/>
    <w:p>
      <w:pPr>
        <w:jc w:val="both"/>
        <w:spacing w:after="0" w:line="255" w:lineRule="auto"/>
        <w:rPr>
          <w:sz w:val="20"/>
          <w:szCs w:val="20"/>
          <w:color w:val="auto"/>
        </w:rPr>
      </w:pPr>
      <w:r>
        <w:rPr>
          <w:rFonts w:ascii="Times New Roman" w:cs="Times New Roman" w:eastAsia="Times New Roman" w:hAnsi="Times New Roman"/>
          <w:sz w:val="21"/>
          <w:szCs w:val="21"/>
          <w:color w:val="auto"/>
        </w:rPr>
        <w:t>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4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6.14.</w:t>
      </w:r>
      <w:r>
        <w:rPr>
          <w:sz w:val="20"/>
          <w:szCs w:val="20"/>
          <w:color w:val="auto"/>
        </w:rPr>
        <w:tab/>
      </w:r>
      <w:r>
        <w:rPr>
          <w:rFonts w:ascii="Times New Roman" w:cs="Times New Roman" w:eastAsia="Times New Roman" w:hAnsi="Times New Roman"/>
          <w:sz w:val="20"/>
          <w:szCs w:val="20"/>
          <w:u w:val="single" w:color="auto"/>
          <w:color w:val="auto"/>
        </w:rPr>
        <w:t>Foreign Account Tax Compliance Act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50"/>
        <w:spacing w:after="0" w:line="256" w:lineRule="auto"/>
        <w:rPr>
          <w:sz w:val="20"/>
          <w:szCs w:val="20"/>
          <w:color w:val="auto"/>
        </w:rPr>
      </w:pPr>
      <w:r>
        <w:rPr>
          <w:rFonts w:ascii="Times New Roman" w:cs="Times New Roman" w:eastAsia="Times New Roman" w:hAnsi="Times New Roman"/>
          <w:sz w:val="21"/>
          <w:szCs w:val="21"/>
          <w:color w:val="auto"/>
        </w:rPr>
        <w:t>Each of the Company and the Trustee agrees to provide the other with such information in its possession (subject in all cases to applicable privacy laws) as reasonably requested by the other to enable the determination of whether any payment to a Holder pursuant to the Indenture is subject to withholding imposed pursuant to Sections 1471 through 1474 of the Code, any regulations thereunder, intergovernmental agreements in respect thereof or official interpretations of any of the foregoing (“</w:t>
      </w:r>
      <w:r>
        <w:rPr>
          <w:rFonts w:ascii="Times New Roman" w:cs="Times New Roman" w:eastAsia="Times New Roman" w:hAnsi="Times New Roman"/>
          <w:sz w:val="21"/>
          <w:szCs w:val="21"/>
          <w:u w:val="single" w:color="auto"/>
          <w:color w:val="auto"/>
        </w:rPr>
        <w:t>Applicable FATCA Law</w:t>
      </w:r>
      <w:r>
        <w:rPr>
          <w:rFonts w:ascii="Times New Roman" w:cs="Times New Roman" w:eastAsia="Times New Roman" w:hAnsi="Times New Roman"/>
          <w:sz w:val="21"/>
          <w:szCs w:val="21"/>
          <w:color w:val="auto"/>
        </w:rPr>
        <w:t>”). The Trustee shall be entitled to make any withholding or deduction from payments under the Notes or this Indenture to the extent necessary (in the Trustee’s reasonable judgment) to comply with Applicable FATCA Law, for which the Trustee shall not have any liability.</w:t>
      </w:r>
    </w:p>
    <w:p>
      <w:pPr>
        <w:spacing w:after="0" w:line="14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6.15.</w:t>
      </w:r>
      <w:r>
        <w:rPr>
          <w:sz w:val="20"/>
          <w:szCs w:val="20"/>
          <w:color w:val="auto"/>
        </w:rPr>
        <w:tab/>
      </w: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1250"/>
        <w:spacing w:after="0" w:line="261" w:lineRule="auto"/>
        <w:rPr>
          <w:sz w:val="20"/>
          <w:szCs w:val="20"/>
          <w:color w:val="auto"/>
        </w:rPr>
      </w:pPr>
      <w:r>
        <w:rPr>
          <w:rFonts w:ascii="Times New Roman" w:cs="Times New Roman" w:eastAsia="Times New Roman" w:hAnsi="Times New Roman"/>
          <w:sz w:val="21"/>
          <w:szCs w:val="21"/>
          <w:b w:val="1"/>
          <w:bCs w:val="1"/>
          <w:color w:val="auto"/>
        </w:rPr>
        <w:t>The Company hereby irrevocably submits to the jurisdiction of any New York State court sitting in the Borough of Manhattan in the City of New York or any federal court sitting in the Southern District in the Borough of Manhattan in the City of New York in respect of any suit, action or proceeding arising out of or relating to this Indenture and the Notes, and irrevocably accepts for itself and in respect of its property, generally and unconditionally, jurisdiction of the aforesaid courts.</w:t>
      </w:r>
    </w:p>
    <w:p>
      <w:pPr>
        <w:spacing w:after="0" w:line="13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Section 6.16.</w:t>
      </w:r>
      <w:r>
        <w:rPr>
          <w:sz w:val="20"/>
          <w:szCs w:val="20"/>
          <w:color w:val="auto"/>
        </w:rPr>
        <w:tab/>
      </w:r>
      <w:r>
        <w:rPr>
          <w:rFonts w:ascii="Times New Roman" w:cs="Times New Roman" w:eastAsia="Times New Roman" w:hAnsi="Times New Roman"/>
          <w:sz w:val="21"/>
          <w:szCs w:val="21"/>
          <w:u w:val="single" w:color="auto"/>
          <w:color w:val="auto"/>
        </w:rPr>
        <w:t>Economic Sanctions.</w:t>
      </w:r>
    </w:p>
    <w:p>
      <w:pPr>
        <w:spacing w:after="0" w:line="180" w:lineRule="exact"/>
        <w:rPr>
          <w:sz w:val="20"/>
          <w:szCs w:val="20"/>
          <w:color w:val="auto"/>
        </w:rPr>
      </w:pPr>
    </w:p>
    <w:p>
      <w:pPr>
        <w:jc w:val="both"/>
        <w:ind w:firstLine="1268"/>
        <w:spacing w:after="0" w:line="225" w:lineRule="auto"/>
        <w:tabs>
          <w:tab w:leader="none" w:pos="189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“Sanctions”);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The Company covenants that neither it nor any of its affiliates, subsidiaries, directors or officers will directly or indirectly use any payments made pursuant to this Indenture, (i) to fund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88" w:right="339" w:bottom="1440" w:gutter="0" w:footer="0" w:header="0"/>
        </w:sectPr>
      </w:pPr>
    </w:p>
    <w:bookmarkStart w:id="138" w:name="page139"/>
    <w:bookmarkEnd w:id="138"/>
    <w:p>
      <w:pPr>
        <w:jc w:val="both"/>
        <w:spacing w:after="0" w:line="265" w:lineRule="auto"/>
        <w:rPr>
          <w:sz w:val="20"/>
          <w:szCs w:val="20"/>
          <w:color w:val="auto"/>
        </w:rPr>
      </w:pPr>
      <w:r>
        <w:rPr>
          <w:rFonts w:ascii="Times New Roman" w:cs="Times New Roman" w:eastAsia="Times New Roman" w:hAnsi="Times New Roman"/>
          <w:sz w:val="21"/>
          <w:szCs w:val="21"/>
          <w:color w:val="auto"/>
        </w:rPr>
        <w:t>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88" w:right="33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1"/>
          <w:szCs w:val="21"/>
          <w:color w:val="auto"/>
        </w:rPr>
        <w:t>SIGNATURES</w:t>
      </w:r>
    </w:p>
    <w:p>
      <w:pPr>
        <w:spacing w:after="0" w:line="200" w:lineRule="exact"/>
        <w:rPr>
          <w:sz w:val="20"/>
          <w:szCs w:val="20"/>
          <w:color w:val="auto"/>
        </w:rPr>
      </w:pPr>
    </w:p>
    <w:p>
      <w:pPr>
        <w:spacing w:after="0" w:line="230" w:lineRule="exact"/>
        <w:rPr>
          <w:sz w:val="20"/>
          <w:szCs w:val="20"/>
          <w:color w:val="auto"/>
        </w:rPr>
      </w:pPr>
    </w:p>
    <w:p>
      <w:pPr>
        <w:ind w:firstLine="1263"/>
        <w:spacing w:after="0" w:line="282" w:lineRule="auto"/>
        <w:rPr>
          <w:sz w:val="20"/>
          <w:szCs w:val="20"/>
          <w:color w:val="auto"/>
        </w:rPr>
      </w:pPr>
      <w:r>
        <w:rPr>
          <w:rFonts w:ascii="Times New Roman" w:cs="Times New Roman" w:eastAsia="Times New Roman" w:hAnsi="Times New Roman"/>
          <w:sz w:val="21"/>
          <w:szCs w:val="21"/>
          <w:color w:val="auto"/>
        </w:rPr>
        <w:t>IN WITNESS WHEREOF, the parties have caused this Supplemental Indenture to be duly executed, all as of the date first above written.</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200" w:lineRule="exact"/>
        <w:rPr>
          <w:sz w:val="20"/>
          <w:szCs w:val="20"/>
          <w:color w:val="auto"/>
        </w:rPr>
      </w:pPr>
    </w:p>
    <w:p>
      <w:pPr>
        <w:spacing w:after="0" w:line="313" w:lineRule="exact"/>
        <w:rPr>
          <w:sz w:val="20"/>
          <w:szCs w:val="20"/>
          <w:color w:val="auto"/>
        </w:rPr>
      </w:pPr>
    </w:p>
    <w:p>
      <w:pPr>
        <w:ind w:left="386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M. Steven Bender</w:t>
      </w:r>
    </w:p>
    <w:p>
      <w:pPr>
        <w:spacing w:after="0" w:line="35" w:lineRule="exact"/>
        <w:rPr>
          <w:sz w:val="20"/>
          <w:szCs w:val="20"/>
          <w:color w:val="auto"/>
        </w:rPr>
      </w:pPr>
    </w:p>
    <w:p>
      <w:pPr>
        <w:ind w:left="4320"/>
        <w:spacing w:after="0"/>
        <w:tabs>
          <w:tab w:leader="none" w:pos="5060" w:val="left"/>
        </w:tabs>
        <w:rPr>
          <w:sz w:val="20"/>
          <w:szCs w:val="20"/>
          <w:color w:val="auto"/>
        </w:rPr>
      </w:pPr>
      <w:r>
        <w:rPr>
          <w:rFonts w:ascii="Times New Roman" w:cs="Times New Roman" w:eastAsia="Times New Roman" w:hAnsi="Times New Roman"/>
          <w:sz w:val="21"/>
          <w:szCs w:val="21"/>
          <w:color w:val="auto"/>
        </w:rPr>
        <w:t>Name:</w:t>
        <w:tab/>
        <w:t>M. Steven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-151765</wp:posOffset>
            </wp:positionV>
            <wp:extent cx="19716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8" w:lineRule="exact"/>
        <w:rPr>
          <w:sz w:val="20"/>
          <w:szCs w:val="20"/>
          <w:color w:val="auto"/>
        </w:rPr>
      </w:pPr>
    </w:p>
    <w:p>
      <w:pPr>
        <w:ind w:left="4260"/>
        <w:spacing w:after="0"/>
        <w:tabs>
          <w:tab w:leader="none" w:pos="49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Executive Vice President</w:t>
      </w:r>
    </w:p>
    <w:p>
      <w:pPr>
        <w:spacing w:after="0" w:line="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Fifteenth Supplemental Indenture</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8" w:right="339" w:bottom="1440" w:gutter="0" w:footer="0" w:header="0"/>
        </w:sectPr>
      </w:pPr>
    </w:p>
    <w:bookmarkStart w:id="140" w:name="page141"/>
    <w:bookmarkEnd w:id="140"/>
    <w:p>
      <w:pPr>
        <w:ind w:left="240" w:right="4019" w:hanging="236"/>
        <w:spacing w:after="0" w:line="286" w:lineRule="auto"/>
        <w:rPr>
          <w:sz w:val="20"/>
          <w:szCs w:val="20"/>
          <w:color w:val="auto"/>
        </w:rPr>
      </w:pPr>
      <w:r>
        <w:rPr>
          <w:rFonts w:ascii="Times New Roman" w:cs="Times New Roman" w:eastAsia="Times New Roman" w:hAnsi="Times New Roman"/>
          <w:sz w:val="21"/>
          <w:szCs w:val="21"/>
          <w:b w:val="1"/>
          <w:bCs w:val="1"/>
          <w:color w:val="auto"/>
        </w:rPr>
        <w:t>THE BANK OF NEW YORK MELLON TRUST COMPANY, N.A.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Trustee</w:t>
      </w:r>
    </w:p>
    <w:p>
      <w:pPr>
        <w:spacing w:after="0" w:line="35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Stacey B. Poindexter</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Name: Stacey B. Poindexter</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Fifteenth Supplemental Indenture</w:t>
      </w: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1384"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FORM</w:t>
      </w:r>
    </w:p>
    <w:p>
      <w:pPr>
        <w:spacing w:after="0" w:line="2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5.550% SENIOR NOTE DUE 2035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040"/>
          </w:cols>
          <w:pgMar w:left="520" w:top="1384"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1"/>
          <w:szCs w:val="21"/>
          <w:color w:val="auto"/>
        </w:rPr>
        <w:t>[FORM OF FACE OF NOTE]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Global Notes Legend</w:t>
      </w:r>
    </w:p>
    <w:p>
      <w:pPr>
        <w:spacing w:after="0" w:line="219" w:lineRule="exact"/>
        <w:rPr>
          <w:sz w:val="20"/>
          <w:szCs w:val="20"/>
          <w:color w:val="auto"/>
        </w:rPr>
      </w:pPr>
    </w:p>
    <w:p>
      <w:pPr>
        <w:jc w:val="both"/>
        <w:ind w:firstLine="1263"/>
        <w:spacing w:after="0" w:line="257" w:lineRule="auto"/>
        <w:rPr>
          <w:sz w:val="20"/>
          <w:szCs w:val="20"/>
          <w:color w:val="auto"/>
        </w:rPr>
      </w:pPr>
      <w:r>
        <w:rPr>
          <w:rFonts w:ascii="Times New Roman" w:cs="Times New Roman" w:eastAsia="Times New Roman" w:hAnsi="Times New Roman"/>
          <w:sz w:val="21"/>
          <w:szCs w:val="21"/>
          <w:color w:val="auto"/>
        </w:rPr>
        <w:t>[THIS NOTE IS A GLOBAL SECURITY WITHIN THE MEANING OF THE INDENTURE HEREINAFTER REFERRED TO AND IS REGISTERED IN THE NAME OF THE DEPOSITORY TRUST COMPANY (570 WASHINGTON BOULEVARD, JERSEY CITY, NEW JERSEY) OR OTHER DULY APPOINTED DEPOSITORY (THE “DEPOSITARY”) OR THEIR RESPECTIVE NOMINEES. UNLESS AND UNTIL IT IS EXCHANGED IN WHOLE OR IN PART FOR NOTES IN CERTIFICATED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68" w:lineRule="exact"/>
        <w:rPr>
          <w:sz w:val="20"/>
          <w:szCs w:val="20"/>
          <w:color w:val="auto"/>
        </w:rPr>
      </w:pPr>
    </w:p>
    <w:p>
      <w:pPr>
        <w:jc w:val="both"/>
        <w:ind w:firstLine="1263"/>
        <w:spacing w:after="0" w:line="255"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TO THE ISSUER HEREOF OR ITS AGENT FOR REGISTRATION OF TRANSFER, EXCHANGE OR PAYMENT, AND ANY CERTIFICATE ISSUED IS REGISTERED IN THE NAME OF CEDE &amp; CO. OR IN SUCH OTHER NAME AS IS REQUESTED BY AN AUTHORIZED REPRESENTATIVE OF THE DEPOSITORY TRUST COMPANY (AND ANY PAYMENT IS MADE TO CEDE &amp; CO. OR TO SUCH OTHER ENTITY AS IS REQUESTED BY AN AUTHORIZED REPRESENTATIVE OF THE DEPOSITORY TRUST COMPANY),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1"/>
          <w:szCs w:val="21"/>
          <w:color w:val="auto"/>
        </w:rPr>
        <w:t>NO. [ ]</w:t>
      </w:r>
      <w:r>
        <w:rPr>
          <w:sz w:val="20"/>
          <w:szCs w:val="20"/>
          <w:color w:val="auto"/>
        </w:rPr>
        <w:tab/>
      </w:r>
      <w:r>
        <w:rPr>
          <w:rFonts w:ascii="Times New Roman" w:cs="Times New Roman" w:eastAsia="Times New Roman" w:hAnsi="Times New Roman"/>
          <w:sz w:val="20"/>
          <w:szCs w:val="20"/>
          <w:color w:val="auto"/>
        </w:rPr>
        <w:t>CUSIP NO. 960413 BB7</w:t>
      </w:r>
    </w:p>
    <w:p>
      <w:pPr>
        <w:spacing w:after="0" w:line="2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5.550% SENIOR NOTE DUE 2035</w:t>
      </w:r>
    </w:p>
    <w:p>
      <w:pPr>
        <w:spacing w:after="0" w:line="37"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1"/>
          <w:szCs w:val="21"/>
          <w:color w:val="auto"/>
        </w:rPr>
        <w:t>Principal Amount:</w:t>
        <w:tab/>
        <w:t>$[ ]</w:t>
      </w:r>
    </w:p>
    <w:p>
      <w:pPr>
        <w:spacing w:after="0" w:line="219" w:lineRule="exact"/>
        <w:rPr>
          <w:sz w:val="20"/>
          <w:szCs w:val="20"/>
          <w:color w:val="auto"/>
        </w:rPr>
      </w:pPr>
    </w:p>
    <w:p>
      <w:pPr>
        <w:jc w:val="both"/>
        <w:ind w:left="2120" w:hanging="2526"/>
        <w:spacing w:after="0" w:line="282" w:lineRule="auto"/>
        <w:tabs>
          <w:tab w:leader="none" w:pos="2100" w:val="left"/>
        </w:tabs>
        <w:rPr>
          <w:sz w:val="20"/>
          <w:szCs w:val="20"/>
          <w:color w:val="auto"/>
        </w:rPr>
      </w:pPr>
      <w:r>
        <w:rPr>
          <w:rFonts w:ascii="Times New Roman" w:cs="Times New Roman" w:eastAsia="Times New Roman" w:hAnsi="Times New Roman"/>
          <w:sz w:val="21"/>
          <w:szCs w:val="21"/>
          <w:color w:val="auto"/>
        </w:rPr>
        <w:t>Regular Record Date:</w:t>
        <w:tab/>
        <w:t>May 1 or November 1 (whether or not a Business Day), as the case may be, next preceding the applicable Interest Payment Date</w:t>
      </w:r>
    </w:p>
    <w:p>
      <w:pPr>
        <w:spacing w:after="0" w:line="156"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1"/>
          <w:szCs w:val="21"/>
          <w:color w:val="auto"/>
        </w:rPr>
        <w:t>Original Issue Date:</w:t>
      </w:r>
      <w:r>
        <w:rPr>
          <w:sz w:val="20"/>
          <w:szCs w:val="20"/>
          <w:color w:val="auto"/>
        </w:rPr>
        <w:tab/>
      </w:r>
      <w:r>
        <w:rPr>
          <w:rFonts w:ascii="Times New Roman" w:cs="Times New Roman" w:eastAsia="Times New Roman" w:hAnsi="Times New Roman"/>
          <w:sz w:val="20"/>
          <w:szCs w:val="20"/>
          <w:color w:val="auto"/>
        </w:rPr>
        <w:t>November 6, 2025</w:t>
      </w:r>
    </w:p>
    <w:p>
      <w:pPr>
        <w:spacing w:after="0" w:line="21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1"/>
          <w:szCs w:val="21"/>
          <w:color w:val="auto"/>
        </w:rPr>
        <w:t>Stated Maturity:</w:t>
      </w:r>
      <w:r>
        <w:rPr>
          <w:sz w:val="20"/>
          <w:szCs w:val="20"/>
          <w:color w:val="auto"/>
        </w:rPr>
        <w:tab/>
      </w:r>
      <w:r>
        <w:rPr>
          <w:rFonts w:ascii="Times New Roman" w:cs="Times New Roman" w:eastAsia="Times New Roman" w:hAnsi="Times New Roman"/>
          <w:sz w:val="20"/>
          <w:szCs w:val="20"/>
          <w:color w:val="auto"/>
        </w:rPr>
        <w:t>November 15, 2035</w:t>
      </w:r>
    </w:p>
    <w:p>
      <w:pPr>
        <w:spacing w:after="0" w:line="219"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1"/>
          <w:szCs w:val="21"/>
          <w:color w:val="auto"/>
        </w:rPr>
        <w:t>Interest Payment Dates:</w:t>
        <w:tab/>
        <w:t>May 15 and November 15, commencing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389" w:right="339" w:bottom="1440" w:gutter="0" w:footer="0" w:header="0"/>
        </w:sectPr>
      </w:pPr>
    </w:p>
    <w:bookmarkStart w:id="143" w:name="page144"/>
    <w:bookmarkEnd w:id="143"/>
    <w:p>
      <w:pPr>
        <w:spacing w:after="0"/>
        <w:tabs>
          <w:tab w:leader="none" w:pos="1320" w:val="left"/>
        </w:tabs>
        <w:rPr>
          <w:sz w:val="20"/>
          <w:szCs w:val="20"/>
          <w:color w:val="auto"/>
        </w:rPr>
      </w:pPr>
      <w:r>
        <w:rPr>
          <w:rFonts w:ascii="Times New Roman" w:cs="Times New Roman" w:eastAsia="Times New Roman" w:hAnsi="Times New Roman"/>
          <w:sz w:val="21"/>
          <w:szCs w:val="21"/>
          <w:color w:val="auto"/>
        </w:rPr>
        <w:t>Interest Rate:</w:t>
        <w:tab/>
        <w:t>5.550% per annum</w:t>
      </w:r>
    </w:p>
    <w:p>
      <w:pPr>
        <w:spacing w:after="0" w:line="219"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21"/>
          <w:szCs w:val="21"/>
          <w:color w:val="auto"/>
        </w:rPr>
        <w:t>Authorized Denomination:</w:t>
        <w:tab/>
        <w:t>$2,000 and integral multiples of $1,000 in excess thereof</w:t>
      </w:r>
    </w:p>
    <w:p>
      <w:pPr>
        <w:spacing w:after="0" w:line="219" w:lineRule="exact"/>
        <w:rPr>
          <w:sz w:val="20"/>
          <w:szCs w:val="20"/>
          <w:color w:val="auto"/>
        </w:rPr>
      </w:pPr>
    </w:p>
    <w:p>
      <w:pPr>
        <w:ind w:right="320" w:firstLine="632"/>
        <w:spacing w:after="0" w:line="260" w:lineRule="auto"/>
        <w:rPr>
          <w:sz w:val="20"/>
          <w:szCs w:val="20"/>
          <w:color w:val="auto"/>
        </w:rPr>
      </w:pPr>
      <w:r>
        <w:rPr>
          <w:rFonts w:ascii="Times New Roman" w:cs="Times New Roman" w:eastAsia="Times New Roman" w:hAnsi="Times New Roman"/>
          <w:sz w:val="21"/>
          <w:szCs w:val="21"/>
          <w:color w:val="auto"/>
        </w:rPr>
        <w:t>WESTLAKE CORPORATION, a corporation duly organized and existing under the laws of the State of Delaware (herein called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which term includes any successor under the Indenture referred to below), for value received, hereby promises to pay to __________________, or its registered assigns, the principal sum of 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 on the Stated Maturity shown above (or upon any earlier date of redemption or acceleration of maturity)</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(each such date being hereinafter referred to as the “</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and to pay interest thereon, from and including the immediately preceding Interest Payment Date to which interest has been paid or duly provided for (or from, and including, the Original Issue Date if no interest has been paid or duly provided for), to, but excluding, the Maturity Date, semi-annually in arrears on each Interest Payment Date as specified above, commencing on May 15, 2026 at the rate per annum shown above until the principal hereof is paid or made available for payment and at such rate on any overdue principal and on any overdue installment of interest. Capitalized terms used herein shall have the meanings specified in the Indenture.</w:t>
      </w:r>
    </w:p>
    <w:p>
      <w:pPr>
        <w:spacing w:after="0" w:line="199" w:lineRule="exact"/>
        <w:rPr>
          <w:sz w:val="20"/>
          <w:szCs w:val="20"/>
          <w:color w:val="auto"/>
        </w:rPr>
      </w:pPr>
    </w:p>
    <w:p>
      <w:pPr>
        <w:ind w:right="160" w:firstLine="632"/>
        <w:spacing w:after="0" w:line="282" w:lineRule="auto"/>
        <w:rPr>
          <w:sz w:val="20"/>
          <w:szCs w:val="20"/>
          <w:color w:val="auto"/>
        </w:rPr>
      </w:pPr>
      <w:r>
        <w:rPr>
          <w:rFonts w:ascii="Times New Roman" w:cs="Times New Roman" w:eastAsia="Times New Roman" w:hAnsi="Times New Roman"/>
          <w:sz w:val="21"/>
          <w:szCs w:val="21"/>
          <w:color w:val="auto"/>
        </w:rPr>
        <w:t>Reference is hereby made to the further provisions of this Note set forth on the reverse hereof, which provisions shall for all purposes have the same force and effect as if set forth on the face hereof.</w:t>
      </w:r>
    </w:p>
    <w:p>
      <w:pPr>
        <w:spacing w:after="0" w:line="183"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this Note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38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1"/>
          <w:szCs w:val="21"/>
          <w:color w:val="auto"/>
        </w:rPr>
        <w:t>IN WITNESS WHEREOF, the Company has caused this instrument to be duly executed.</w:t>
      </w:r>
    </w:p>
    <w:p>
      <w:pPr>
        <w:spacing w:after="0" w:line="200" w:lineRule="exact"/>
        <w:rPr>
          <w:sz w:val="20"/>
          <w:szCs w:val="20"/>
          <w:color w:val="auto"/>
        </w:rPr>
      </w:pPr>
    </w:p>
    <w:p>
      <w:pPr>
        <w:spacing w:after="0" w:line="2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120" w:type="dxa"/>
        <w:tblCellMar>
          <w:top w:w="0" w:type="dxa"/>
          <w:left w:w="0" w:type="dxa"/>
          <w:bottom w:w="0" w:type="dxa"/>
          <w:right w:w="0" w:type="dxa"/>
        </w:tblCellMar>
      </w:tblPr>
      <w:tr>
        <w:trPr>
          <w:trHeight w:val="241"/>
        </w:trPr>
        <w:tc>
          <w:tcPr>
            <w:tcW w:w="300" w:type="dxa"/>
            <w:vAlign w:val="bottom"/>
          </w:tcPr>
          <w:p>
            <w:pPr>
              <w:spacing w:after="0"/>
              <w:rPr>
                <w:sz w:val="20"/>
                <w:szCs w:val="20"/>
                <w:color w:val="auto"/>
              </w:rPr>
            </w:pPr>
            <w:r>
              <w:rPr>
                <w:rFonts w:ascii="Times New Roman" w:cs="Times New Roman" w:eastAsia="Times New Roman" w:hAnsi="Times New Roman"/>
                <w:sz w:val="21"/>
                <w:szCs w:val="21"/>
                <w:color w:val="auto"/>
                <w:w w:val="92"/>
              </w:rPr>
              <w:t>By:</w:t>
            </w:r>
          </w:p>
        </w:tc>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w w:val="99"/>
              </w:rPr>
              <w:t>___________________________________</w:t>
            </w:r>
          </w:p>
        </w:tc>
      </w:tr>
      <w:tr>
        <w:trPr>
          <w:trHeight w:val="268"/>
        </w:trPr>
        <w:tc>
          <w:tcPr>
            <w:tcW w:w="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r>
      <w:tr>
        <w:trPr>
          <w:trHeight w:val="276"/>
        </w:trPr>
        <w:tc>
          <w:tcPr>
            <w:tcW w:w="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r>
      <w:tr>
        <w:trPr>
          <w:trHeight w:val="857"/>
        </w:trPr>
        <w:tc>
          <w:tcPr>
            <w:tcW w:w="300" w:type="dxa"/>
            <w:vAlign w:val="bottom"/>
          </w:tcPr>
          <w:p>
            <w:pPr>
              <w:spacing w:after="0"/>
              <w:rPr>
                <w:sz w:val="20"/>
                <w:szCs w:val="20"/>
                <w:color w:val="auto"/>
              </w:rPr>
            </w:pPr>
            <w:r>
              <w:rPr>
                <w:rFonts w:ascii="Times New Roman" w:cs="Times New Roman" w:eastAsia="Times New Roman" w:hAnsi="Times New Roman"/>
                <w:sz w:val="21"/>
                <w:szCs w:val="21"/>
                <w:color w:val="auto"/>
                <w:w w:val="92"/>
              </w:rPr>
              <w:t>By:</w:t>
            </w:r>
          </w:p>
        </w:tc>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w w:val="99"/>
              </w:rPr>
              <w:t>___________________________________</w:t>
            </w:r>
          </w:p>
        </w:tc>
      </w:tr>
      <w:tr>
        <w:trPr>
          <w:trHeight w:val="255"/>
        </w:trPr>
        <w:tc>
          <w:tcPr>
            <w:tcW w:w="30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r>
      <w:tr>
        <w:trPr>
          <w:trHeight w:val="276"/>
        </w:trPr>
        <w:tc>
          <w:tcPr>
            <w:tcW w:w="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0139"/>
          </w:cols>
          <w:pgMar w:left="320" w:top="1388" w:right="1440" w:bottom="1440" w:gutter="0" w:footer="0" w:header="0"/>
        </w:sectPr>
      </w:pPr>
    </w:p>
    <w:bookmarkStart w:id="145" w:name="page146"/>
    <w:bookmarkEnd w:id="145"/>
    <w:p>
      <w:pPr>
        <w:ind w:left="4360"/>
        <w:spacing w:after="0"/>
        <w:rPr>
          <w:sz w:val="20"/>
          <w:szCs w:val="20"/>
          <w:color w:val="auto"/>
        </w:rPr>
      </w:pPr>
      <w:r>
        <w:rPr>
          <w:rFonts w:ascii="Times New Roman" w:cs="Times New Roman" w:eastAsia="Times New Roman" w:hAnsi="Times New Roman"/>
          <w:sz w:val="21"/>
          <w:szCs w:val="21"/>
          <w:b w:val="1"/>
          <w:bCs w:val="1"/>
          <w:color w:val="auto"/>
        </w:rPr>
        <w:t>CERTIFICATE OF AUTHENTICATION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within-mentioned Indenture.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Authentication: ________________, 20__</w:t>
      </w:r>
    </w:p>
    <w:p>
      <w:pPr>
        <w:spacing w:after="0" w:line="228" w:lineRule="exact"/>
        <w:rPr>
          <w:sz w:val="20"/>
          <w:szCs w:val="20"/>
          <w:color w:val="auto"/>
        </w:rPr>
      </w:pPr>
    </w:p>
    <w:p>
      <w:pPr>
        <w:ind w:right="4019"/>
        <w:spacing w:after="0" w:line="286" w:lineRule="auto"/>
        <w:rPr>
          <w:sz w:val="20"/>
          <w:szCs w:val="20"/>
          <w:color w:val="auto"/>
        </w:rPr>
      </w:pPr>
      <w:r>
        <w:rPr>
          <w:rFonts w:ascii="Times New Roman" w:cs="Times New Roman" w:eastAsia="Times New Roman" w:hAnsi="Times New Roman"/>
          <w:sz w:val="21"/>
          <w:szCs w:val="21"/>
          <w:b w:val="1"/>
          <w:bCs w:val="1"/>
          <w:color w:val="auto"/>
        </w:rPr>
        <w:t>THE BANK OF NEW YORK MELLON TRUST COMPANY, N.A.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Trustee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-10160</wp:posOffset>
            </wp:positionV>
            <wp:extent cx="401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401320" cy="8255"/>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A-5</w:t>
      </w:r>
    </w:p>
    <w:p>
      <w:pPr>
        <w:sectPr>
          <w:pgSz w:w="11900" w:h="16838" w:orient="portrait"/>
          <w:cols w:equalWidth="0" w:num="1">
            <w:col w:w="10139"/>
          </w:cols>
          <w:pgMar w:left="320" w:top="1384" w:right="1440" w:bottom="1440" w:gutter="0" w:footer="0" w:header="0"/>
        </w:sectPr>
      </w:pPr>
    </w:p>
    <w:bookmarkStart w:id="146" w:name="page147"/>
    <w:bookmarkEnd w:id="146"/>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[REVERSE OF NOTE]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5.550% Senior Note due 2035</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This Note is one of a duly authorized issue of 5.550% Senior Notes due 2035 (the “Notes”) of Westlake Corporation, a Delaware corporation (the “Company”). Capitalized terms used herein shall have the meanings specified in the Indenture (as defined below).</w:t>
      </w:r>
    </w:p>
    <w:p>
      <w:pPr>
        <w:spacing w:after="0" w:line="23" w:lineRule="exact"/>
        <w:rPr>
          <w:sz w:val="20"/>
          <w:szCs w:val="20"/>
          <w:color w:val="auto"/>
        </w:rPr>
      </w:pPr>
    </w:p>
    <w:p>
      <w:pPr>
        <w:ind w:left="380" w:hanging="375"/>
        <w:spacing w:after="0"/>
        <w:tabs>
          <w:tab w:leader="none" w:pos="38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The Company promises to pay interest on the principal amount of this Note at the rate per annum shown above. The Company shall pay such interest semi-annually in arrears on May 15 and November 15 of each year, commencing May 15, 2026. Interest will be paid on each such Interest Payment Date to the Persons who are registered Holders of the Notes at the close of business on the May 1 or November 1 (whether or not a Business Day) next preceding the Interest Payment Date (each such date, a “Regular Record Date”), even if such Interest Payment Date is a Redemption Date, Change of Control Payment Date or other Maturity Date, except as provided in Section 2.14 of the Indenture with respect to defaulted interest. Interest on the Notes will accrue from the most recent date to which interest has been paid or duly provided for or, if no interest has been paid or duly provided for, from November 6, 2025. Interest will be computed on the basis of a 360-day year of twelve 30-day months.</w:t>
      </w:r>
    </w:p>
    <w:p>
      <w:pPr>
        <w:spacing w:after="0" w:line="182" w:lineRule="exact"/>
        <w:rPr>
          <w:sz w:val="20"/>
          <w:szCs w:val="20"/>
          <w:color w:val="auto"/>
        </w:rPr>
      </w:pPr>
    </w:p>
    <w:p>
      <w:pPr>
        <w:ind w:left="380" w:hanging="375"/>
        <w:spacing w:after="0"/>
        <w:tabs>
          <w:tab w:leader="none" w:pos="38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Method of Payment.</w:t>
      </w:r>
    </w:p>
    <w:p>
      <w:pPr>
        <w:spacing w:after="0" w:line="221"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Upon the terms and subject to the conditions of the Indenture, the Company will make all payments of the Redemption Price and Change of Control Payment and principal due at Maturity in respect of the Notes to Holders who surrender such Notes to a Paying Agent to collect such payments; provided that if any Redemption Date, Change of Control Payment Date or other Maturity Date is an Interest Payment Date, accrued and unpaid interest shall be paid to the Holder as of the immediately preceding Regular Record Date. The Company will pay all amounts due in respect of the Notes in money of the United States of America that at the time of payment is legal tender for payment of public and private debts. The Company will make such payments (i) by wire transfer of immediately available funds to any account maintained in the United States with respect to Notes evidenced by Global Securities and any other Notes with any aggregate principal amount in excess of $1,000,000 the Holder of which has provided wire transfer instructions to the Paying Agent at least five Business Days prior to the applicable payment date or (ii) by check payable in such money mailed to a Holder’s registered address with respect to any certificated Notes.</w:t>
      </w:r>
    </w:p>
    <w:p>
      <w:pPr>
        <w:spacing w:after="0" w:line="189" w:lineRule="exact"/>
        <w:rPr>
          <w:sz w:val="20"/>
          <w:szCs w:val="20"/>
          <w:color w:val="auto"/>
        </w:rPr>
      </w:pPr>
    </w:p>
    <w:p>
      <w:pPr>
        <w:ind w:left="380" w:hanging="375"/>
        <w:spacing w:after="0"/>
        <w:tabs>
          <w:tab w:leader="none" w:pos="3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Paying Agent and Registrar.</w:t>
      </w:r>
    </w:p>
    <w:p>
      <w:pPr>
        <w:spacing w:after="0" w:line="221"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Initially, The Bank of New York Mellon Trust Company, N.A., the Trustee under the Indenture, will act as Paying Agent and Registrar at its office at 601 Travis Street, 16th Floor, Houston, Texas 77002. The Company may appoint and change any Paying Agent or Registrar without notice to any Holder. The Company or any of its Subsidiaries may act as Paying Agent or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52" w:lineRule="exact"/>
        <w:rPr>
          <w:sz w:val="20"/>
          <w:szCs w:val="20"/>
          <w:color w:val="auto"/>
        </w:rPr>
      </w:pPr>
    </w:p>
    <w:p>
      <w:pPr>
        <w:ind w:left="380" w:hanging="375"/>
        <w:spacing w:after="0"/>
        <w:tabs>
          <w:tab w:leader="none" w:pos="38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Indenture.</w:t>
      </w:r>
    </w:p>
    <w:p>
      <w:pPr>
        <w:spacing w:after="0" w:line="221"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The Company issued the Notes under an Indenture dated as of January 1, 2006 (the “Base Indenture”), as supplemented by the Fifteenth Supplemental Indenture dated as of November 6, 2025 (the “Fifteenth Supplemental Indenture,” and together with the Base Indenture, the “Indenture”) between the Company and the Trustee. The terms of the Notes include those stated in the Indenture and those made part of the Indenture by reference to the Trust Indenture Act of 1939, as amended (the “TIA”). The Notes are subject to all such terms, and Holders are referred to the Indenture and the TIA for a statement of such terms. To the extent any provision of this Note conflicts with the express provisions of the Indenture, the provisions of the Indenture shall govern and be controlling. The Notes are general unsecured obligations of the Company and are initially issued in an aggregate principal amount of $600,000,000. The Company may, subject to the provisions of the Indenture, issue additional Notes of the same series as the Notes from time to time without the consent of the Holders. The Notes initially issued and any additional Notes subsequently issued under the Indenture will be treated as a single series for all purposes of the Indenture, including, without limitation, with respect to waivers, amendments, supplements, redemptions and offers to purchase, provided that if any such additional Notes are not fungible with the Notes initially issued for United States federal income tax purposes, such additional Notes will have one or more separate CUSIP numbers from the Notes initially issued. The Indenture provides for the issuance of other series of debt securities (including the Notes, the “Securities”) thereunder.</w:t>
      </w:r>
    </w:p>
    <w:p>
      <w:pPr>
        <w:spacing w:after="0" w:line="171" w:lineRule="exact"/>
        <w:rPr>
          <w:sz w:val="20"/>
          <w:szCs w:val="20"/>
          <w:color w:val="auto"/>
        </w:rPr>
      </w:pPr>
    </w:p>
    <w:p>
      <w:pPr>
        <w:ind w:left="380" w:hanging="375"/>
        <w:spacing w:after="0"/>
        <w:tabs>
          <w:tab w:leader="none" w:pos="38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 Redemption</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ind w:right="60" w:firstLine="211"/>
        <w:spacing w:after="0" w:line="281" w:lineRule="auto"/>
        <w:rPr>
          <w:sz w:val="20"/>
          <w:szCs w:val="20"/>
          <w:color w:val="auto"/>
        </w:rPr>
      </w:pPr>
      <w:r>
        <w:rPr>
          <w:rFonts w:ascii="Times New Roman" w:cs="Times New Roman" w:eastAsia="Times New Roman" w:hAnsi="Times New Roman"/>
          <w:sz w:val="21"/>
          <w:szCs w:val="21"/>
          <w:color w:val="auto"/>
        </w:rPr>
        <w:t>Prior to August 15, 2035 (three months prior to the Stated Maturity of the Notes) (the “Par Call Date”), the Company may redeem the Notes at its option, in whole or in part, at any time and from time to time, at a Redemption Price equal to the greater of:</w:t>
      </w:r>
    </w:p>
    <w:p>
      <w:pPr>
        <w:jc w:val="both"/>
        <w:ind w:left="640" w:firstLine="881"/>
        <w:spacing w:after="0" w:line="225" w:lineRule="auto"/>
        <w:tabs>
          <w:tab w:leader="none" w:pos="189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sum of the present values of the Remaining Scheduled Payments on the Notes to be redeemed discounted to the Redemption Date (assuming the Notes to be redeemed matured on the Par Call Date) on a semi-annual basis (assuming a 360-day year consisting of twelve 30-day months) at the Treasury Rate plus 25 basis points, less (b) interest accrued to the Redemption Date; and</w:t>
      </w:r>
    </w:p>
    <w:p>
      <w:pPr>
        <w:spacing w:after="0" w:line="147" w:lineRule="exact"/>
        <w:rPr>
          <w:rFonts w:ascii="Times New Roman" w:cs="Times New Roman" w:eastAsia="Times New Roman" w:hAnsi="Times New Roman"/>
          <w:sz w:val="21"/>
          <w:szCs w:val="21"/>
          <w:color w:val="auto"/>
        </w:rPr>
      </w:pPr>
    </w:p>
    <w:p>
      <w:pPr>
        <w:ind w:left="1900" w:hanging="379"/>
        <w:spacing w:after="0"/>
        <w:tabs>
          <w:tab w:leader="none" w:pos="190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 of the principal amount of the Notes to be redeemed;</w:t>
      </w:r>
    </w:p>
    <w:p>
      <w:pPr>
        <w:spacing w:after="0" w:line="205"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plus, in either case, accrued and unpaid interest thereon to, but not including, the Redemption Date.</w:t>
      </w:r>
    </w:p>
    <w:p>
      <w:pPr>
        <w:spacing w:after="0" w:line="219" w:lineRule="exact"/>
        <w:rPr>
          <w:sz w:val="20"/>
          <w:szCs w:val="20"/>
          <w:color w:val="auto"/>
        </w:rPr>
      </w:pPr>
    </w:p>
    <w:p>
      <w:pPr>
        <w:ind w:right="180" w:firstLine="211"/>
        <w:spacing w:after="0" w:line="265" w:lineRule="auto"/>
        <w:rPr>
          <w:sz w:val="20"/>
          <w:szCs w:val="20"/>
          <w:color w:val="auto"/>
        </w:rPr>
      </w:pPr>
      <w:r>
        <w:rPr>
          <w:rFonts w:ascii="Times New Roman" w:cs="Times New Roman" w:eastAsia="Times New Roman" w:hAnsi="Times New Roman"/>
          <w:sz w:val="21"/>
          <w:szCs w:val="21"/>
          <w:color w:val="auto"/>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52" w:lineRule="exact"/>
        <w:rPr>
          <w:sz w:val="20"/>
          <w:szCs w:val="20"/>
          <w:color w:val="auto"/>
        </w:rPr>
      </w:pPr>
    </w:p>
    <w:p>
      <w:pPr>
        <w:ind w:left="380" w:hanging="375"/>
        <w:spacing w:after="0"/>
        <w:tabs>
          <w:tab w:leader="none" w:pos="3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 Redemption.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Company will not be required to make mandatory redemption or sinking fund payments with respect to the Notes.</w:t>
      </w:r>
    </w:p>
    <w:p>
      <w:pPr>
        <w:spacing w:after="0" w:line="217" w:lineRule="exact"/>
        <w:rPr>
          <w:sz w:val="20"/>
          <w:szCs w:val="20"/>
          <w:color w:val="auto"/>
        </w:rPr>
      </w:pPr>
    </w:p>
    <w:p>
      <w:pPr>
        <w:ind w:left="380" w:hanging="375"/>
        <w:spacing w:after="0"/>
        <w:tabs>
          <w:tab w:leader="none" w:pos="3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of Redemption.</w:t>
      </w:r>
    </w:p>
    <w:p>
      <w:pPr>
        <w:spacing w:after="0" w:line="221" w:lineRule="exact"/>
        <w:rPr>
          <w:sz w:val="20"/>
          <w:szCs w:val="20"/>
          <w:color w:val="auto"/>
        </w:rPr>
      </w:pPr>
    </w:p>
    <w:p>
      <w:pPr>
        <w:jc w:val="both"/>
        <w:ind w:firstLine="263"/>
        <w:spacing w:after="0" w:line="264" w:lineRule="auto"/>
        <w:rPr>
          <w:sz w:val="20"/>
          <w:szCs w:val="20"/>
          <w:color w:val="auto"/>
        </w:rPr>
      </w:pPr>
      <w:r>
        <w:rPr>
          <w:rFonts w:ascii="Times New Roman" w:cs="Times New Roman" w:eastAsia="Times New Roman" w:hAnsi="Times New Roman"/>
          <w:sz w:val="21"/>
          <w:szCs w:val="21"/>
          <w:color w:val="auto"/>
        </w:rPr>
        <w:t>The Company shall deliver notice of a redemption not less than 10 days nor more than 60 days before the Redemption Date to Holders of Notes to be redeemed. Once notice of redemption is sent, subject to the satisfaction of any conditions precedent provided in the notice of redemption, the Notes called for redemption will become due and payable on the Redemption Date at the applicable Redemption Price.</w:t>
      </w:r>
    </w:p>
    <w:p>
      <w:pPr>
        <w:spacing w:after="0" w:line="159" w:lineRule="exact"/>
        <w:rPr>
          <w:sz w:val="20"/>
          <w:szCs w:val="20"/>
          <w:color w:val="auto"/>
        </w:rPr>
      </w:pPr>
    </w:p>
    <w:p>
      <w:pPr>
        <w:ind w:left="380" w:hanging="375"/>
        <w:spacing w:after="0"/>
        <w:tabs>
          <w:tab w:leader="none" w:pos="3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Repurchase at the Option of Holder.</w:t>
      </w:r>
    </w:p>
    <w:p>
      <w:pPr>
        <w:spacing w:after="0" w:line="221" w:lineRule="exact"/>
        <w:rPr>
          <w:rFonts w:ascii="Times New Roman" w:cs="Times New Roman" w:eastAsia="Times New Roman" w:hAnsi="Times New Roman"/>
          <w:sz w:val="21"/>
          <w:szCs w:val="21"/>
          <w:color w:val="auto"/>
        </w:rPr>
      </w:pPr>
    </w:p>
    <w:p>
      <w:pPr>
        <w:ind w:left="960" w:right="240" w:hanging="323"/>
        <w:spacing w:after="0" w:line="256" w:lineRule="auto"/>
        <w:tabs>
          <w:tab w:leader="none" w:pos="957"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of Control Triggering Event, unless the Company has exercised its right to optionally redeem the Notes, each Holder will have the right to require the Company to purchase all or a portion ($1,000 or an integral multiple of $1,000 in excess thereof) of such Holder’s Notes pursuant to the Change of Control Offer, at a purchase price equal to 101% of the principal amount thereof, plus accrued and unpaid interest, if any, to, but not including, the Change of Control Payment Date, subject to the rights of Holders on the relevant record date to receive interest due on the relevant Interest Payment Date; provided that the principal amount of a Note remaining outstanding after a repurchase in part shall be $2,000 or an integral multiple of $1,000 in excess thereof.</w:t>
      </w:r>
    </w:p>
    <w:p>
      <w:pPr>
        <w:spacing w:after="0" w:line="170" w:lineRule="exact"/>
        <w:rPr>
          <w:rFonts w:ascii="Times New Roman" w:cs="Times New Roman" w:eastAsia="Times New Roman" w:hAnsi="Times New Roman"/>
          <w:sz w:val="21"/>
          <w:szCs w:val="21"/>
          <w:color w:val="auto"/>
        </w:rPr>
      </w:pPr>
    </w:p>
    <w:p>
      <w:pPr>
        <w:ind w:left="960" w:right="40" w:hanging="323"/>
        <w:spacing w:after="0" w:line="258" w:lineRule="auto"/>
        <w:tabs>
          <w:tab w:leader="none" w:pos="95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following the date upon which the Change of Control Triggering Event occurred, or at the Company’s option, prior to any Change of Control but after the public announcement of the pending Change of Control, the Company will be required to deliver a notice to each Holder of the Notes not redeemed, with a copy to the Trustee, which notice will govern the terms of the Change of Control Offer. Such notice will, among other things, state the Change of Control Payment Date, which must be no earlier than 30 days nor later than 60 days from the date such notice is sent, other than as may be required by applicable law, describe the transaction or transactions constituting the Change of Control Triggering Event and offer to repurchase the Notes.</w:t>
      </w:r>
    </w:p>
    <w:p>
      <w:pPr>
        <w:spacing w:after="0" w:line="36" w:lineRule="exact"/>
        <w:rPr>
          <w:rFonts w:ascii="Times New Roman" w:cs="Times New Roman" w:eastAsia="Times New Roman" w:hAnsi="Times New Roman"/>
          <w:sz w:val="21"/>
          <w:szCs w:val="21"/>
          <w:color w:val="auto"/>
        </w:rPr>
      </w:pPr>
    </w:p>
    <w:p>
      <w:pPr>
        <w:ind w:left="380" w:hanging="375"/>
        <w:spacing w:after="0"/>
        <w:tabs>
          <w:tab w:leader="none" w:pos="3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Denominations; Transfer; Exchange.</w:t>
      </w:r>
    </w:p>
    <w:p>
      <w:pPr>
        <w:spacing w:after="0" w:line="234" w:lineRule="exact"/>
        <w:rPr>
          <w:sz w:val="20"/>
          <w:szCs w:val="20"/>
          <w:color w:val="auto"/>
        </w:rPr>
      </w:pPr>
    </w:p>
    <w:p>
      <w:pPr>
        <w:jc w:val="both"/>
        <w:ind w:firstLine="245"/>
        <w:spacing w:after="0" w:line="257" w:lineRule="auto"/>
        <w:rPr>
          <w:sz w:val="20"/>
          <w:szCs w:val="20"/>
          <w:color w:val="auto"/>
        </w:rPr>
      </w:pPr>
      <w:r>
        <w:rPr>
          <w:rFonts w:ascii="Times New Roman" w:cs="Times New Roman" w:eastAsia="Times New Roman" w:hAnsi="Times New Roman"/>
          <w:sz w:val="21"/>
          <w:szCs w:val="21"/>
          <w:color w:val="auto"/>
        </w:rPr>
        <w:t>The Notes initially are issued in permanent global form. Under certain circumstances described in the Indenture, Notes may also be issued in the form of certificated Notes in fully registered form, without coupons, in minimum denominations of $2,000 and integral multiples of $1,000 in excess thereof. The Registrar may require a Holder, among other things, to furnish appropriate endorsements and transfer documents and to pay any transfer taxes or similar governmental changes required by law or permitted by the Indenture. The Registrar need not register the transfer or exchange of any Notes selected for redemption in whole or in part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the unredeemed portion of any Note to be redeemed in part) or any Notes during a period beginning 15 Business Days prior to the delivery of the relevant notice of redemption or repurchase and ending on the close of business on the day of delivery such notice.</w:t>
      </w:r>
    </w:p>
    <w:p>
      <w:pPr>
        <w:spacing w:after="0" w:line="141" w:lineRule="exact"/>
        <w:rPr>
          <w:sz w:val="20"/>
          <w:szCs w:val="20"/>
          <w:color w:val="auto"/>
        </w:rPr>
      </w:pPr>
    </w:p>
    <w:p>
      <w:pPr>
        <w:ind w:left="480" w:hanging="475"/>
        <w:spacing w:after="0"/>
        <w:tabs>
          <w:tab w:leader="none" w:pos="48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Persons Deemed Owners.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registered Holder of a Note may be treated as its owner for all purposes.</w:t>
      </w:r>
    </w:p>
    <w:p>
      <w:pPr>
        <w:spacing w:after="0" w:line="217" w:lineRule="exact"/>
        <w:rPr>
          <w:sz w:val="20"/>
          <w:szCs w:val="20"/>
          <w:color w:val="auto"/>
        </w:rPr>
      </w:pPr>
    </w:p>
    <w:p>
      <w:pPr>
        <w:ind w:left="480" w:hanging="475"/>
        <w:spacing w:after="0"/>
        <w:tabs>
          <w:tab w:leader="none" w:pos="48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 Waiver.</w:t>
      </w:r>
    </w:p>
    <w:p>
      <w:pPr>
        <w:spacing w:after="0" w:line="234"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Subject to certain exceptions and limitations, the Indenture or the Securities may be amended or supplemented with the consent of the Holders of at least a majority in principal amount of the then outstanding Securities of all series affected by such amendment or supplement (acting as one class), and any existing or past Default or Event of Default under, or compliance with any provision of, the Indenture may be waived (other than any continuing Default or Event of Default in the payment of the principal of, premium (if any) on or interest on the Securities) by the Holders of at least a majority in principal amount of the then outstanding Securities of any series or of all series (acting as one class) in accordance with the terms of the Indenture. Subject to certain exceptions set forth in the Indenture, without the consent of any Holder, the Company and the Trustee may amend or supplement the Indenture or the Securities in certain respects set forth in the Indenture.</w:t>
      </w:r>
    </w:p>
    <w:p>
      <w:pPr>
        <w:spacing w:after="0" w:line="17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Without the consent of each Holder affected, the Company may not (i) reduce the amount of Securities whose Holders must consent to an amendment, supplement or waiver; (ii) reduce the rate of or change the time for payment of interest, including default interest, on any Security; (iii) reduce the principal of or premium on, or change the Stated Maturity of, any Security; (iv) reduce the premium, if any, payable upon the redemption of any Security or change the time at which any Security may or shall be redeemed;</w:t>
      </w:r>
    </w:p>
    <w:p>
      <w:pPr>
        <w:spacing w:after="0" w:line="3" w:lineRule="exact"/>
        <w:rPr>
          <w:sz w:val="20"/>
          <w:szCs w:val="20"/>
          <w:color w:val="auto"/>
        </w:rPr>
      </w:pPr>
    </w:p>
    <w:p>
      <w:pPr>
        <w:jc w:val="both"/>
        <w:ind w:firstLine="5"/>
        <w:spacing w:after="0" w:line="248" w:lineRule="auto"/>
        <w:tabs>
          <w:tab w:leader="none" w:pos="30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any obligation of the Company to pay Additional Amounts with respect to any Security; (vi) change the coin or currency in which any Security or any premium or interest with respect thereto is payable; (vii) impair the right to institute suit for the enforcement of any payment of principal of or premium (if any) or interest on any Security, except as provided in the Indenture;</w:t>
      </w:r>
    </w:p>
    <w:p>
      <w:pPr>
        <w:spacing w:after="0" w:line="1" w:lineRule="exact"/>
        <w:rPr>
          <w:rFonts w:ascii="Times New Roman" w:cs="Times New Roman" w:eastAsia="Times New Roman" w:hAnsi="Times New Roman"/>
          <w:sz w:val="21"/>
          <w:szCs w:val="21"/>
          <w:color w:val="auto"/>
        </w:rPr>
      </w:pPr>
    </w:p>
    <w:p>
      <w:pPr>
        <w:jc w:val="both"/>
        <w:ind w:firstLine="5"/>
        <w:spacing w:after="0" w:line="260" w:lineRule="auto"/>
        <w:tabs>
          <w:tab w:leader="none" w:pos="47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in the percentage of principal amount of Securities necessary to waive compliance with certain provisions of the Indenture or make any change in the provision for modification; or (ix) waive a continuing Default or Event of Default in the payment of principal of or premium (if any) or interest on the Securities.</w:t>
      </w:r>
    </w:p>
    <w:p>
      <w:pPr>
        <w:spacing w:after="0" w:line="165"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A supplemental indenture that changes or eliminates any covenant or other provision of the Indenture which has expressly been included solely for the benefit of one or more particular series of Securities under the Indenture, or which modifies the rights of the Holders of Securities of such series with respect to such covenant or other provision, shall be deemed not to affect the rights under the Indenture of the Holders of Securities of any other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52" w:lineRule="exact"/>
        <w:rPr>
          <w:sz w:val="20"/>
          <w:szCs w:val="20"/>
          <w:color w:val="auto"/>
        </w:rPr>
      </w:pPr>
    </w:p>
    <w:p>
      <w:pPr>
        <w:ind w:left="480" w:hanging="475"/>
        <w:spacing w:after="0"/>
        <w:tabs>
          <w:tab w:leader="none" w:pos="48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Defaults and Remedies.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Under the Indenture, Events of Default include (i) default in the payment of interest that continues for a period of 30 days;</w:t>
      </w:r>
    </w:p>
    <w:p>
      <w:pPr>
        <w:spacing w:after="0" w:line="33" w:lineRule="exact"/>
        <w:rPr>
          <w:sz w:val="20"/>
          <w:szCs w:val="20"/>
          <w:color w:val="auto"/>
        </w:rPr>
      </w:pPr>
    </w:p>
    <w:p>
      <w:pPr>
        <w:jc w:val="both"/>
        <w:ind w:firstLine="5"/>
        <w:spacing w:after="0" w:line="252" w:lineRule="auto"/>
        <w:tabs>
          <w:tab w:leader="none" w:pos="32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any payment of principal of or premium, if any, on the Notes when due and payable; (iii) failure by the Company to comply with any of its other covenants or agreements in the Indenture or the Notes, which shall not have been remedied within the specified time period after written notice; and (iv) certain events of bankruptcy or insolvency with respect to the Company. If an Event of Default occurs and is continuing, either the Trustee or the Holders of at least 25% in aggregate principal amount of the Notes at the time outstanding (or, in the case of an Event of Default described in clause (iii) above, if outstanding Securities of other series are affected by such Default, then at least 25% in principal amount of the then outstanding Securities so affected), may declare the principal amount of all the Securities (or the Notes) to be due and payable immediately, together with accrued and unpaid interest thereon. Certain events of bankruptcy or insolvency are Events of Default that will result in the principal amount of the Notes, together with accrued and unpaid interest thereon, becoming due and payable immediately upon the occurrence of such Events of Default.</w:t>
      </w:r>
    </w:p>
    <w:p>
      <w:pPr>
        <w:spacing w:after="0" w:line="177"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As set forth in, and subject to the provisions of, the Indenture, no Holder of any Securities shall have any right to institute any proceeding, judicial or otherwise, with respect to the Indenture, or for the appointment of a receiver or trustee, or for any other remedy thereunder, unless certain conditions set forth in the Indenture have been satisfied. The Trustee may refuse to enforce the Indenture or the Securities unless it receives indemnity satisfactory to it. Subject to certain limitations (including that, in some cases, a majority in principal amount of all outstanding Securities (or the Notes) is required), Holders of a majority in aggregate principal amount of the outstanding Securities (or the Notes) have the right to direct the time, method and place of conducting certain proceedings, or exercising any trust or power conferred on the Trustee.</w:t>
      </w:r>
    </w:p>
    <w:p>
      <w:pPr>
        <w:spacing w:after="0" w:line="169" w:lineRule="exact"/>
        <w:rPr>
          <w:sz w:val="20"/>
          <w:szCs w:val="20"/>
          <w:color w:val="auto"/>
        </w:rPr>
      </w:pPr>
    </w:p>
    <w:p>
      <w:pPr>
        <w:ind w:left="480" w:hanging="475"/>
        <w:spacing w:after="0"/>
        <w:tabs>
          <w:tab w:leader="none" w:pos="4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 Dealings with the Company.</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Subject to certain limitations imposed by the TIA, the Trustee under the Indenture, in its individual or any other capacity, may become the owner or pledgee of Notes and may otherwise deal with the Company with the same rights it would have if it were not Trustee.</w:t>
      </w:r>
    </w:p>
    <w:p>
      <w:pPr>
        <w:spacing w:after="0" w:line="154" w:lineRule="exact"/>
        <w:rPr>
          <w:sz w:val="20"/>
          <w:szCs w:val="20"/>
          <w:color w:val="auto"/>
        </w:rPr>
      </w:pPr>
    </w:p>
    <w:p>
      <w:pPr>
        <w:ind w:left="480" w:hanging="475"/>
        <w:spacing w:after="0"/>
        <w:tabs>
          <w:tab w:leader="none" w:pos="48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Discharge Prior to Maturity</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The Indenture with respect to the Notes shall be discharged and canceled upon the payment of all of the Notes and shall be discharged except for certain obligations upon the irrevocable deposit with the Trustee of any combination of funds and U.S. Government Obligations sufficient for such payment as provided in the Indenture.</w:t>
      </w:r>
    </w:p>
    <w:p>
      <w:pPr>
        <w:spacing w:after="0" w:line="154" w:lineRule="exact"/>
        <w:rPr>
          <w:sz w:val="20"/>
          <w:szCs w:val="20"/>
          <w:color w:val="auto"/>
        </w:rPr>
      </w:pPr>
    </w:p>
    <w:p>
      <w:pPr>
        <w:ind w:left="480" w:hanging="475"/>
        <w:spacing w:after="0"/>
        <w:tabs>
          <w:tab w:leader="none" w:pos="4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Recourse Against Others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A director, officer, member, manager, employee, stockholder, partner or other owner of the Company or the Trustee, as such, shall not have any liability for any obligations of the Company under the Notes, or for any obligations of the Company or the Trustee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A-10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Indenture or for any claim based on, in respect of or by reason of such obligations or their creation. Each Holder by accepting a Note waives and releases all such liability. The waiver and release shall be part of the consideration for the issuance of Notes.</w:t>
      </w:r>
    </w:p>
    <w:p>
      <w:pPr>
        <w:spacing w:after="0" w:line="141" w:lineRule="exact"/>
        <w:rPr>
          <w:sz w:val="20"/>
          <w:szCs w:val="20"/>
          <w:color w:val="auto"/>
        </w:rPr>
      </w:pPr>
    </w:p>
    <w:p>
      <w:pPr>
        <w:ind w:left="480" w:hanging="475"/>
        <w:spacing w:after="0"/>
        <w:tabs>
          <w:tab w:leader="none" w:pos="4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CUSIP Numbers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firstLine="250"/>
        <w:spacing w:after="0" w:line="264" w:lineRule="auto"/>
        <w:rPr>
          <w:sz w:val="20"/>
          <w:szCs w:val="20"/>
          <w:color w:val="auto"/>
        </w:rPr>
      </w:pPr>
      <w:r>
        <w:rPr>
          <w:rFonts w:ascii="Times New Roman" w:cs="Times New Roman" w:eastAsia="Times New Roman" w:hAnsi="Times New Roman"/>
          <w:sz w:val="21"/>
          <w:szCs w:val="21"/>
          <w:color w:val="auto"/>
        </w:rPr>
        <w:t>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9" w:lineRule="exact"/>
        <w:rPr>
          <w:sz w:val="20"/>
          <w:szCs w:val="20"/>
          <w:color w:val="auto"/>
        </w:rPr>
      </w:pPr>
    </w:p>
    <w:p>
      <w:pPr>
        <w:ind w:left="480" w:hanging="475"/>
        <w:spacing w:after="0"/>
        <w:tabs>
          <w:tab w:leader="none" w:pos="48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Abbreviations.</w:t>
      </w:r>
    </w:p>
    <w:p>
      <w:pPr>
        <w:spacing w:after="0" w:line="221" w:lineRule="exact"/>
        <w:rPr>
          <w:sz w:val="20"/>
          <w:szCs w:val="20"/>
          <w:color w:val="auto"/>
        </w:rPr>
      </w:pPr>
    </w:p>
    <w:p>
      <w:pPr>
        <w:jc w:val="both"/>
        <w:ind w:firstLine="250"/>
        <w:spacing w:after="0" w:line="271" w:lineRule="auto"/>
        <w:rPr>
          <w:sz w:val="20"/>
          <w:szCs w:val="20"/>
          <w:color w:val="auto"/>
        </w:rPr>
      </w:pPr>
      <w:r>
        <w:rPr>
          <w:rFonts w:ascii="Times New Roman" w:cs="Times New Roman" w:eastAsia="Times New Roman" w:hAnsi="Times New Roman"/>
          <w:sz w:val="21"/>
          <w:szCs w:val="21"/>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A-11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color w:val="auto"/>
        </w:rPr>
        <w:t>ASSIGNMENT FORM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assign this Note, fill in the form below: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or we assign and transfer this Note to</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______________________________________________________________________________</w:t>
      </w:r>
    </w:p>
    <w:p>
      <w:pPr>
        <w:ind w:left="23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______________________________________________________________________________</w:t>
      </w:r>
    </w:p>
    <w:p>
      <w:pPr>
        <w:ind w:left="274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and irrevocably appoint </w:t>
      </w:r>
      <w:r>
        <w:rPr>
          <w:rFonts w:ascii="Times New Roman" w:cs="Times New Roman" w:eastAsia="Times New Roman" w:hAnsi="Times New Roman"/>
          <w:sz w:val="21"/>
          <w:szCs w:val="21"/>
          <w:u w:val="single" w:color="auto"/>
          <w:color w:val="auto"/>
        </w:rPr>
        <w:t>__________________________________________________________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agent to transfer this Note on the books of the Company. The agent may substitute another to act for him.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______________________________________________________________________________</w:t>
      </w:r>
    </w:p>
    <w:p>
      <w:pPr>
        <w:spacing w:after="0" w:line="298"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21"/>
          <w:szCs w:val="21"/>
          <w:color w:val="auto"/>
        </w:rPr>
        <w:t>__________________________Date:</w:t>
      </w:r>
      <w:r>
        <w:rPr>
          <w:sz w:val="20"/>
          <w:szCs w:val="20"/>
          <w:color w:val="auto"/>
        </w:rPr>
        <w:tab/>
      </w:r>
      <w:r>
        <w:rPr>
          <w:rFonts w:ascii="Times New Roman" w:cs="Times New Roman" w:eastAsia="Times New Roman" w:hAnsi="Times New Roman"/>
          <w:sz w:val="20"/>
          <w:szCs w:val="20"/>
          <w:color w:val="auto"/>
        </w:rPr>
        <w:t>Your Signature: _______________________</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 exactly as your name</w:t>
      </w:r>
    </w:p>
    <w:p>
      <w:pPr>
        <w:spacing w:after="0" w:line="1" w:lineRule="exact"/>
        <w:rPr>
          <w:sz w:val="20"/>
          <w:szCs w:val="20"/>
          <w:color w:val="auto"/>
        </w:rPr>
      </w:pPr>
    </w:p>
    <w:p>
      <w:pPr>
        <w:ind w:left="4420"/>
        <w:spacing w:after="0"/>
        <w:tabs>
          <w:tab w:leader="none" w:pos="5160" w:val="left"/>
        </w:tabs>
        <w:rPr>
          <w:sz w:val="20"/>
          <w:szCs w:val="20"/>
          <w:color w:val="auto"/>
        </w:rPr>
      </w:pPr>
      <w:r>
        <w:rPr>
          <w:rFonts w:ascii="Times New Roman" w:cs="Times New Roman" w:eastAsia="Times New Roman" w:hAnsi="Times New Roman"/>
          <w:sz w:val="18"/>
          <w:szCs w:val="18"/>
          <w:color w:val="auto"/>
        </w:rPr>
        <w:t>appears</w:t>
        <w:tab/>
        <w:t>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Your Signature</w:t>
      </w:r>
    </w:p>
    <w:p>
      <w:pPr>
        <w:spacing w:after="0" w:line="287" w:lineRule="exact"/>
        <w:rPr>
          <w:sz w:val="20"/>
          <w:szCs w:val="20"/>
          <w:color w:val="auto"/>
        </w:rPr>
      </w:pPr>
    </w:p>
    <w:p>
      <w:pPr>
        <w:ind w:left="120"/>
        <w:spacing w:after="0"/>
        <w:tabs>
          <w:tab w:leader="none" w:pos="2040" w:val="left"/>
        </w:tabs>
        <w:rPr>
          <w:sz w:val="20"/>
          <w:szCs w:val="20"/>
          <w:color w:val="auto"/>
        </w:rPr>
      </w:pPr>
      <w:r>
        <w:rPr>
          <w:rFonts w:ascii="Times New Roman" w:cs="Times New Roman" w:eastAsia="Times New Roman" w:hAnsi="Times New Roman"/>
          <w:sz w:val="21"/>
          <w:szCs w:val="21"/>
          <w:color w:val="auto"/>
        </w:rPr>
        <w:t>Signature Guarantee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__________________________________________</w:t>
      </w:r>
    </w:p>
    <w:p>
      <w:pPr>
        <w:spacing w:after="0" w:line="34" w:lineRule="exact"/>
        <w:rPr>
          <w:sz w:val="20"/>
          <w:szCs w:val="20"/>
          <w:color w:val="auto"/>
        </w:rPr>
      </w:pPr>
    </w:p>
    <w:p>
      <w:pPr>
        <w:ind w:left="2100" w:right="1619"/>
        <w:spacing w:after="0" w:line="237" w:lineRule="auto"/>
        <w:rPr>
          <w:sz w:val="20"/>
          <w:szCs w:val="20"/>
          <w:color w:val="auto"/>
        </w:rPr>
      </w:pPr>
      <w:r>
        <w:rPr>
          <w:rFonts w:ascii="Times New Roman" w:cs="Times New Roman" w:eastAsia="Times New Roman" w:hAnsi="Times New Roman"/>
          <w:sz w:val="18"/>
          <w:szCs w:val="18"/>
          <w:color w:val="auto"/>
        </w:rPr>
        <w:t>Signature must be guaranteed by a participant in a recognized signature guaranty medallion program or other signature guarantor acceptable to the Trustee</w:t>
      </w:r>
    </w:p>
    <w:p>
      <w:pPr>
        <w:spacing w:after="0" w:line="200" w:lineRule="exact"/>
        <w:rPr>
          <w:sz w:val="20"/>
          <w:szCs w:val="20"/>
          <w:color w:val="auto"/>
        </w:rPr>
      </w:pPr>
    </w:p>
    <w:p>
      <w:pPr>
        <w:spacing w:after="0" w:line="260"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21"/>
          <w:szCs w:val="21"/>
          <w:color w:val="auto"/>
        </w:rPr>
        <w:t>Date:</w:t>
      </w:r>
      <w:r>
        <w:rPr>
          <w:rFonts w:ascii="Times New Roman" w:cs="Times New Roman" w:eastAsia="Times New Roman" w:hAnsi="Times New Roman"/>
          <w:sz w:val="21"/>
          <w:szCs w:val="21"/>
          <w:u w:val="single" w:color="auto"/>
          <w:color w:val="auto"/>
        </w:rPr>
        <w:t>__________________________</w:t>
      </w:r>
      <w:r>
        <w:rPr>
          <w:sz w:val="20"/>
          <w:szCs w:val="20"/>
          <w:color w:val="auto"/>
        </w:rPr>
        <w:tab/>
      </w:r>
      <w:r>
        <w:rPr>
          <w:rFonts w:ascii="Times New Roman" w:cs="Times New Roman" w:eastAsia="Times New Roman" w:hAnsi="Times New Roman"/>
          <w:sz w:val="21"/>
          <w:szCs w:val="21"/>
          <w:u w:val="single" w:color="auto"/>
          <w:color w:val="auto"/>
        </w:rPr>
        <w:t>____________________________________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Signature of 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A-12</w:t>
      </w:r>
    </w:p>
    <w:p>
      <w:pPr>
        <w:sectPr>
          <w:pgSz w:w="11900" w:h="16838" w:orient="portrait"/>
          <w:cols w:equalWidth="0" w:num="1">
            <w:col w:w="10139"/>
          </w:cols>
          <w:pgMar w:left="320" w:top="1440"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FORM</w:t>
      </w:r>
    </w:p>
    <w:p>
      <w:pPr>
        <w:spacing w:after="0" w:line="2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6.375% SENIOR NOTE DUE 2055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11100"/>
          </w:cols>
          <w:pgMar w:left="460" w:top="1385"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1"/>
          <w:szCs w:val="21"/>
          <w:color w:val="auto"/>
        </w:rPr>
        <w:t>[FORM OF FACE OF NOTE]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Global Notes Legend</w:t>
      </w:r>
    </w:p>
    <w:p>
      <w:pPr>
        <w:spacing w:after="0" w:line="219" w:lineRule="exact"/>
        <w:rPr>
          <w:sz w:val="20"/>
          <w:szCs w:val="20"/>
          <w:color w:val="auto"/>
        </w:rPr>
      </w:pPr>
    </w:p>
    <w:p>
      <w:pPr>
        <w:jc w:val="both"/>
        <w:ind w:firstLine="1263"/>
        <w:spacing w:after="0" w:line="257" w:lineRule="auto"/>
        <w:rPr>
          <w:sz w:val="20"/>
          <w:szCs w:val="20"/>
          <w:color w:val="auto"/>
        </w:rPr>
      </w:pPr>
      <w:r>
        <w:rPr>
          <w:rFonts w:ascii="Times New Roman" w:cs="Times New Roman" w:eastAsia="Times New Roman" w:hAnsi="Times New Roman"/>
          <w:sz w:val="21"/>
          <w:szCs w:val="21"/>
          <w:color w:val="auto"/>
        </w:rPr>
        <w:t>[THIS NOTE IS A GLOBAL SECURITY WITHIN THE MEANING OF THE INDENTURE HEREINAFTER REFERRED TO AND IS REGISTERED IN THE NAME OF THE DEPOSITORY TRUST COMPANY (570 WASHINGTON BOULEVARD, JERSEY CITY, NEW JERSEY) OR OTHER DULY APPOINTED DEPOSITORY (THE “DEPOSITARY”) OR THEIR RESPECTIVE NOMINEES. UNLESS AND UNTIL IT IS EXCHANGED IN WHOLE OR IN PART FOR NOTES IN CERTIFICATED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68" w:lineRule="exact"/>
        <w:rPr>
          <w:sz w:val="20"/>
          <w:szCs w:val="20"/>
          <w:color w:val="auto"/>
        </w:rPr>
      </w:pPr>
    </w:p>
    <w:p>
      <w:pPr>
        <w:jc w:val="both"/>
        <w:ind w:firstLine="1263"/>
        <w:spacing w:after="0" w:line="255"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TO THE ISSUER HEREOF OR ITS AGENT FOR REGISTRATION OF TRANSFER, EXCHANGE OR PAYMENT, AND ANY CERTIFICATE ISSUED IS REGISTERED IN THE NAME OF CEDE &amp; CO. OR IN SUCH OTHER NAME AS IS REQUESTED BY AN AUTHORIZED REPRESENTATIVE OF THE DEPOSITORY TRUST COMPANY (AND ANY PAYMENT IS MADE TO CEDE &amp; CO. OR TO SUCH OTHER ENTITY AS IS REQUESTED BY AN AUTHORIZED REPRESENTATIVE OF THE DEPOSITORY TRUST COMPANY),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1"/>
          <w:szCs w:val="21"/>
          <w:color w:val="auto"/>
        </w:rPr>
        <w:t>NO. [ ]</w:t>
      </w:r>
      <w:r>
        <w:rPr>
          <w:sz w:val="20"/>
          <w:szCs w:val="20"/>
          <w:color w:val="auto"/>
        </w:rPr>
        <w:tab/>
      </w:r>
      <w:r>
        <w:rPr>
          <w:rFonts w:ascii="Times New Roman" w:cs="Times New Roman" w:eastAsia="Times New Roman" w:hAnsi="Times New Roman"/>
          <w:sz w:val="20"/>
          <w:szCs w:val="20"/>
          <w:color w:val="auto"/>
        </w:rPr>
        <w:t>CUSIP NO. 960413 BC5</w:t>
      </w:r>
    </w:p>
    <w:p>
      <w:pPr>
        <w:spacing w:after="0" w:line="2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6.375% SENIOR NOTE DUE 2055</w:t>
      </w:r>
    </w:p>
    <w:p>
      <w:pPr>
        <w:spacing w:after="0" w:line="37"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1"/>
          <w:szCs w:val="21"/>
          <w:color w:val="auto"/>
        </w:rPr>
        <w:t>Principal Amount:</w:t>
        <w:tab/>
        <w:t>$[ ]</w:t>
      </w:r>
    </w:p>
    <w:p>
      <w:pPr>
        <w:spacing w:after="0" w:line="219" w:lineRule="exact"/>
        <w:rPr>
          <w:sz w:val="20"/>
          <w:szCs w:val="20"/>
          <w:color w:val="auto"/>
        </w:rPr>
      </w:pPr>
    </w:p>
    <w:p>
      <w:pPr>
        <w:jc w:val="both"/>
        <w:ind w:left="2120" w:hanging="2526"/>
        <w:spacing w:after="0" w:line="282" w:lineRule="auto"/>
        <w:tabs>
          <w:tab w:leader="none" w:pos="2100" w:val="left"/>
        </w:tabs>
        <w:rPr>
          <w:sz w:val="20"/>
          <w:szCs w:val="20"/>
          <w:color w:val="auto"/>
        </w:rPr>
      </w:pPr>
      <w:r>
        <w:rPr>
          <w:rFonts w:ascii="Times New Roman" w:cs="Times New Roman" w:eastAsia="Times New Roman" w:hAnsi="Times New Roman"/>
          <w:sz w:val="21"/>
          <w:szCs w:val="21"/>
          <w:color w:val="auto"/>
        </w:rPr>
        <w:t>Regular Record Date:</w:t>
        <w:tab/>
        <w:t>May 1 or November 1 (whether or not a Business Day), as the case may be, next preceding the applicable Interest Payment Date</w:t>
      </w:r>
    </w:p>
    <w:p>
      <w:pPr>
        <w:spacing w:after="0" w:line="156"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1"/>
          <w:szCs w:val="21"/>
          <w:color w:val="auto"/>
        </w:rPr>
        <w:t>Original Issue Date:</w:t>
      </w:r>
      <w:r>
        <w:rPr>
          <w:sz w:val="20"/>
          <w:szCs w:val="20"/>
          <w:color w:val="auto"/>
        </w:rPr>
        <w:tab/>
      </w:r>
      <w:r>
        <w:rPr>
          <w:rFonts w:ascii="Times New Roman" w:cs="Times New Roman" w:eastAsia="Times New Roman" w:hAnsi="Times New Roman"/>
          <w:sz w:val="20"/>
          <w:szCs w:val="20"/>
          <w:color w:val="auto"/>
        </w:rPr>
        <w:t>November 6, 2025</w:t>
      </w:r>
    </w:p>
    <w:p>
      <w:pPr>
        <w:spacing w:after="0" w:line="21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1"/>
          <w:szCs w:val="21"/>
          <w:color w:val="auto"/>
        </w:rPr>
        <w:t>Stated Maturity:</w:t>
      </w:r>
      <w:r>
        <w:rPr>
          <w:sz w:val="20"/>
          <w:szCs w:val="20"/>
          <w:color w:val="auto"/>
        </w:rPr>
        <w:tab/>
      </w:r>
      <w:r>
        <w:rPr>
          <w:rFonts w:ascii="Times New Roman" w:cs="Times New Roman" w:eastAsia="Times New Roman" w:hAnsi="Times New Roman"/>
          <w:sz w:val="20"/>
          <w:szCs w:val="20"/>
          <w:color w:val="auto"/>
        </w:rPr>
        <w:t>November 15, 2055</w:t>
      </w:r>
    </w:p>
    <w:p>
      <w:pPr>
        <w:spacing w:after="0" w:line="219"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1"/>
          <w:szCs w:val="21"/>
          <w:color w:val="auto"/>
        </w:rPr>
        <w:t>Interest Payment Dates:</w:t>
        <w:tab/>
        <w:t>May 15 and November 15, commencing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B-2</w:t>
      </w:r>
    </w:p>
    <w:p>
      <w:pPr>
        <w:sectPr>
          <w:pgSz w:w="11900" w:h="16838" w:orient="portrait"/>
          <w:cols w:equalWidth="0" w:num="1">
            <w:col w:w="11240"/>
          </w:cols>
          <w:pgMar w:left="320" w:top="1389" w:right="339" w:bottom="1440" w:gutter="0" w:footer="0" w:header="0"/>
        </w:sectPr>
      </w:pPr>
    </w:p>
    <w:bookmarkStart w:id="155" w:name="page156"/>
    <w:bookmarkEnd w:id="155"/>
    <w:p>
      <w:pPr>
        <w:spacing w:after="0"/>
        <w:tabs>
          <w:tab w:leader="none" w:pos="1320" w:val="left"/>
        </w:tabs>
        <w:rPr>
          <w:sz w:val="20"/>
          <w:szCs w:val="20"/>
          <w:color w:val="auto"/>
        </w:rPr>
      </w:pPr>
      <w:r>
        <w:rPr>
          <w:rFonts w:ascii="Times New Roman" w:cs="Times New Roman" w:eastAsia="Times New Roman" w:hAnsi="Times New Roman"/>
          <w:sz w:val="21"/>
          <w:szCs w:val="21"/>
          <w:color w:val="auto"/>
        </w:rPr>
        <w:t>Interest Rate:</w:t>
        <w:tab/>
        <w:t>6.375% per annum</w:t>
      </w:r>
    </w:p>
    <w:p>
      <w:pPr>
        <w:spacing w:after="0" w:line="219"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21"/>
          <w:szCs w:val="21"/>
          <w:color w:val="auto"/>
        </w:rPr>
        <w:t>Authorized Denomination:</w:t>
        <w:tab/>
        <w:t>$2,000 and integral multiples of $1,000 in excess thereof</w:t>
      </w:r>
    </w:p>
    <w:p>
      <w:pPr>
        <w:spacing w:after="0" w:line="200" w:lineRule="exact"/>
        <w:rPr>
          <w:sz w:val="20"/>
          <w:szCs w:val="20"/>
          <w:color w:val="auto"/>
        </w:rPr>
      </w:pPr>
    </w:p>
    <w:p>
      <w:pPr>
        <w:spacing w:after="0" w:line="282" w:lineRule="exact"/>
        <w:rPr>
          <w:sz w:val="20"/>
          <w:szCs w:val="20"/>
          <w:color w:val="auto"/>
        </w:rPr>
      </w:pPr>
    </w:p>
    <w:p>
      <w:pPr>
        <w:ind w:right="320" w:firstLine="632"/>
        <w:spacing w:after="0" w:line="256" w:lineRule="auto"/>
        <w:rPr>
          <w:sz w:val="20"/>
          <w:szCs w:val="20"/>
          <w:color w:val="auto"/>
        </w:rPr>
      </w:pPr>
      <w:r>
        <w:rPr>
          <w:rFonts w:ascii="Times New Roman" w:cs="Times New Roman" w:eastAsia="Times New Roman" w:hAnsi="Times New Roman"/>
          <w:sz w:val="21"/>
          <w:szCs w:val="21"/>
          <w:color w:val="auto"/>
        </w:rPr>
        <w:t>WESTLAKE CORPORATION, a corporation duly organized and existing under the laws of the State of Delaware (herein called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which term includes any successor under the Indenture referred to below), for value received, hereby promises to pay to __________________, or its registered assigns, the principal sum of 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 on the Stated Maturity shown above (or upon any earlier date of redemption or acceleration of maturity)</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(each such date being hereinafter referred to as the “</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and to pay interest thereon, from and including the immediately preceding Interest Payment Date to which interest has been paid or duly provided for (or from, and including, the Original Issue Date if no interest has been paid or duly provided for), to, but excluding, the Maturity Date, semi-annually in arrears on each Interest Payment Date as specified above, commencing on May 15, 2026 at the rate per annum shown above until the principal hereof is paid or made available for payment and at such rate on any overdue principal and on any overdue installment of interest. Capitalized terms used herein shall have the meanings specified in the Indenture.</w:t>
      </w:r>
    </w:p>
    <w:p>
      <w:pPr>
        <w:spacing w:after="0" w:line="199" w:lineRule="exact"/>
        <w:rPr>
          <w:sz w:val="20"/>
          <w:szCs w:val="20"/>
          <w:color w:val="auto"/>
        </w:rPr>
      </w:pPr>
    </w:p>
    <w:p>
      <w:pPr>
        <w:ind w:right="160" w:firstLine="632"/>
        <w:spacing w:after="0" w:line="295" w:lineRule="auto"/>
        <w:rPr>
          <w:sz w:val="20"/>
          <w:szCs w:val="20"/>
          <w:color w:val="auto"/>
        </w:rPr>
      </w:pPr>
      <w:r>
        <w:rPr>
          <w:rFonts w:ascii="Times New Roman" w:cs="Times New Roman" w:eastAsia="Times New Roman" w:hAnsi="Times New Roman"/>
          <w:sz w:val="21"/>
          <w:szCs w:val="21"/>
          <w:color w:val="auto"/>
        </w:rPr>
        <w:t>Reference is hereby made to the further provisions of this Note set forth on the reverse hereof, which provisions shall for all purposes have the same force and effect as if set forth on the face hereof.</w:t>
      </w:r>
    </w:p>
    <w:p>
      <w:pPr>
        <w:spacing w:after="0" w:line="156"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this Note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B-3</w:t>
      </w:r>
    </w:p>
    <w:p>
      <w:pPr>
        <w:sectPr>
          <w:pgSz w:w="11900" w:h="16838" w:orient="portrait"/>
          <w:cols w:equalWidth="0" w:num="1">
            <w:col w:w="11240"/>
          </w:cols>
          <w:pgMar w:left="320" w:top="138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1"/>
          <w:szCs w:val="21"/>
          <w:color w:val="auto"/>
        </w:rPr>
        <w:t>IN WITNESS WHEREOF, the Company has caused this instrument to be duly executed.</w:t>
      </w:r>
    </w:p>
    <w:p>
      <w:pPr>
        <w:spacing w:after="0" w:line="200" w:lineRule="exact"/>
        <w:rPr>
          <w:sz w:val="20"/>
          <w:szCs w:val="20"/>
          <w:color w:val="auto"/>
        </w:rPr>
      </w:pPr>
    </w:p>
    <w:p>
      <w:pPr>
        <w:spacing w:after="0" w:line="2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120" w:type="dxa"/>
        <w:tblCellMar>
          <w:top w:w="0" w:type="dxa"/>
          <w:left w:w="0" w:type="dxa"/>
          <w:bottom w:w="0" w:type="dxa"/>
          <w:right w:w="0" w:type="dxa"/>
        </w:tblCellMar>
      </w:tblPr>
      <w:tr>
        <w:trPr>
          <w:trHeight w:val="241"/>
        </w:trPr>
        <w:tc>
          <w:tcPr>
            <w:tcW w:w="300" w:type="dxa"/>
            <w:vAlign w:val="bottom"/>
          </w:tcPr>
          <w:p>
            <w:pPr>
              <w:spacing w:after="0"/>
              <w:rPr>
                <w:sz w:val="20"/>
                <w:szCs w:val="20"/>
                <w:color w:val="auto"/>
              </w:rPr>
            </w:pPr>
            <w:r>
              <w:rPr>
                <w:rFonts w:ascii="Times New Roman" w:cs="Times New Roman" w:eastAsia="Times New Roman" w:hAnsi="Times New Roman"/>
                <w:sz w:val="21"/>
                <w:szCs w:val="21"/>
                <w:color w:val="auto"/>
                <w:w w:val="92"/>
              </w:rPr>
              <w:t>By:</w:t>
            </w:r>
          </w:p>
        </w:tc>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w w:val="99"/>
              </w:rPr>
              <w:t>___________________________________</w:t>
            </w:r>
          </w:p>
        </w:tc>
      </w:tr>
      <w:tr>
        <w:trPr>
          <w:trHeight w:val="268"/>
        </w:trPr>
        <w:tc>
          <w:tcPr>
            <w:tcW w:w="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r>
      <w:tr>
        <w:trPr>
          <w:trHeight w:val="276"/>
        </w:trPr>
        <w:tc>
          <w:tcPr>
            <w:tcW w:w="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r>
      <w:tr>
        <w:trPr>
          <w:trHeight w:val="857"/>
        </w:trPr>
        <w:tc>
          <w:tcPr>
            <w:tcW w:w="300" w:type="dxa"/>
            <w:vAlign w:val="bottom"/>
          </w:tcPr>
          <w:p>
            <w:pPr>
              <w:spacing w:after="0"/>
              <w:rPr>
                <w:sz w:val="20"/>
                <w:szCs w:val="20"/>
                <w:color w:val="auto"/>
              </w:rPr>
            </w:pPr>
            <w:r>
              <w:rPr>
                <w:rFonts w:ascii="Times New Roman" w:cs="Times New Roman" w:eastAsia="Times New Roman" w:hAnsi="Times New Roman"/>
                <w:sz w:val="21"/>
                <w:szCs w:val="21"/>
                <w:color w:val="auto"/>
                <w:w w:val="92"/>
              </w:rPr>
              <w:t>By:</w:t>
            </w:r>
          </w:p>
        </w:tc>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w w:val="99"/>
              </w:rPr>
              <w:t>___________________________________</w:t>
            </w:r>
          </w:p>
        </w:tc>
      </w:tr>
      <w:tr>
        <w:trPr>
          <w:trHeight w:val="255"/>
        </w:trPr>
        <w:tc>
          <w:tcPr>
            <w:tcW w:w="30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r>
      <w:tr>
        <w:trPr>
          <w:trHeight w:val="276"/>
        </w:trPr>
        <w:tc>
          <w:tcPr>
            <w:tcW w:w="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B-4</w:t>
      </w:r>
    </w:p>
    <w:p>
      <w:pPr>
        <w:sectPr>
          <w:pgSz w:w="11900" w:h="16838" w:orient="portrait"/>
          <w:cols w:equalWidth="0" w:num="1">
            <w:col w:w="10139"/>
          </w:cols>
          <w:pgMar w:left="320" w:top="1389" w:right="1440" w:bottom="1440" w:gutter="0" w:footer="0" w:header="0"/>
        </w:sectPr>
      </w:pPr>
    </w:p>
    <w:bookmarkStart w:id="157" w:name="page158"/>
    <w:bookmarkEnd w:id="157"/>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CERTIFICATE OF AUTHENTICATION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within-mentioned Indenture.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Authentication: ________________, 20__</w:t>
      </w:r>
    </w:p>
    <w:p>
      <w:pPr>
        <w:spacing w:after="0" w:line="228" w:lineRule="exact"/>
        <w:rPr>
          <w:sz w:val="20"/>
          <w:szCs w:val="20"/>
          <w:color w:val="auto"/>
        </w:rPr>
      </w:pPr>
    </w:p>
    <w:p>
      <w:pPr>
        <w:ind w:right="4019"/>
        <w:spacing w:after="0" w:line="286" w:lineRule="auto"/>
        <w:rPr>
          <w:sz w:val="20"/>
          <w:szCs w:val="20"/>
          <w:color w:val="auto"/>
        </w:rPr>
      </w:pPr>
      <w:r>
        <w:rPr>
          <w:rFonts w:ascii="Times New Roman" w:cs="Times New Roman" w:eastAsia="Times New Roman" w:hAnsi="Times New Roman"/>
          <w:sz w:val="21"/>
          <w:szCs w:val="21"/>
          <w:b w:val="1"/>
          <w:bCs w:val="1"/>
          <w:color w:val="auto"/>
        </w:rPr>
        <w:t>THE BANK OF NEW YORK MELLON TRUST COMPANY, N.A.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Trustee</w:t>
      </w:r>
    </w:p>
    <w:p>
      <w:pPr>
        <w:spacing w:after="0" w:line="200" w:lineRule="exact"/>
        <w:rPr>
          <w:sz w:val="20"/>
          <w:szCs w:val="20"/>
          <w:color w:val="auto"/>
        </w:rPr>
      </w:pPr>
    </w:p>
    <w:p>
      <w:pPr>
        <w:spacing w:after="0" w:line="38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_________________________________</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B-5</w:t>
      </w:r>
    </w:p>
    <w:p>
      <w:pPr>
        <w:sectPr>
          <w:pgSz w:w="11900" w:h="16838" w:orient="portrait"/>
          <w:cols w:equalWidth="0" w:num="1">
            <w:col w:w="10139"/>
          </w:cols>
          <w:pgMar w:left="320" w:top="1440" w:right="1440" w:bottom="1440" w:gutter="0" w:footer="0" w:header="0"/>
        </w:sectPr>
      </w:pPr>
    </w:p>
    <w:bookmarkStart w:id="158" w:name="page159"/>
    <w:bookmarkEnd w:id="158"/>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[REVERSE OF NOTE]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Westlake Corporation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6.375% Senior Note due 2055</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This Note is one of a duly authorized issue of 6.375% Senior Notes due 2055 (the “Notes”) of Westlake Corporation, a Delaware corporation (the “Company”). Capitalized terms used herein shall have the meanings specified in the Indenture (as defined below).</w:t>
      </w:r>
    </w:p>
    <w:p>
      <w:pPr>
        <w:spacing w:after="0" w:line="23" w:lineRule="exact"/>
        <w:rPr>
          <w:sz w:val="20"/>
          <w:szCs w:val="20"/>
          <w:color w:val="auto"/>
        </w:rPr>
      </w:pPr>
    </w:p>
    <w:p>
      <w:pPr>
        <w:ind w:left="380" w:hanging="375"/>
        <w:spacing w:after="0"/>
        <w:tabs>
          <w:tab w:leader="none" w:pos="3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The Company promises to pay interest on the principal amount of this Note at the rate per annum shown above. The Company shall pay such interest semi-annually in arrears on May 15 and November 15 of each year, commencing May 15, 2026. Interest will be paid on each such Interest Payment Date to the Persons who are registered Holders of the Notes at the close of business on the May 1 or November 1 (whether or not a Business Day) next preceding the Interest Payment Date (each such date, a “Regular Record Date”), even if such Interest Payment Date is a Redemption Date, Change of Control Payment Date or other Maturity Date, except as provided in Section 2.14 of the Indenture with respect to defaulted interest. Interest on the Notes will accrue from the most recent date to which interest has been paid or duly provided for or, if no interest has been paid or duly provided for, from November 6, 2025. Interest will be computed on the basis of a 360-day year of twelve 30-day months.</w:t>
      </w:r>
    </w:p>
    <w:p>
      <w:pPr>
        <w:spacing w:after="0" w:line="166" w:lineRule="exact"/>
        <w:rPr>
          <w:sz w:val="20"/>
          <w:szCs w:val="20"/>
          <w:color w:val="auto"/>
        </w:rPr>
      </w:pPr>
    </w:p>
    <w:p>
      <w:pPr>
        <w:ind w:left="380" w:hanging="375"/>
        <w:spacing w:after="0"/>
        <w:tabs>
          <w:tab w:leader="none" w:pos="38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Method of Payment.</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Upon the terms and subject to the conditions of the Indenture, the Company will make all payments of the Redemption Price and Change of Control Payment and principal due at Maturity in respect of the Notes to Holders who surrender such Notes to a Paying Agent to collect such payments; provided that if any Redemption Date, Change of Control Payment Date or other Maturity Date is an Interest Payment Date, accrued and unpaid interest shall be paid to the Holder as of the immediately preceding Regular Record Date. The Company will pay all amounts due in respect of the Notes in money of the United States of America that at the time of payment is legal tender for payment of public and private debts. The Company will make such payments (i) by wire transfer of immediately available funds to any account maintained in the United States with respect to Notes evidenced by Global Securities and any other Notes with any aggregate principal amount in excess of $1,000,000 the Holder of which has provided wire transfer instructions to the Paying Agent at least five Business Days prior to the applicable payment date or (ii) by check payable in such money mailed to a Holder’s registered address with respect to any certificated Notes.</w:t>
      </w:r>
    </w:p>
    <w:p>
      <w:pPr>
        <w:spacing w:after="0" w:line="169" w:lineRule="exact"/>
        <w:rPr>
          <w:sz w:val="20"/>
          <w:szCs w:val="20"/>
          <w:color w:val="auto"/>
        </w:rPr>
      </w:pPr>
    </w:p>
    <w:p>
      <w:pPr>
        <w:ind w:left="380" w:hanging="375"/>
        <w:spacing w:after="0"/>
        <w:tabs>
          <w:tab w:leader="none" w:pos="3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Paying Agent and Registrar.</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Initially, The Bank of New York Mellon Trust Company, N.A., the Trustee under the Indenture, will act as Paying Agent and Registrar at its office at 601 Travis Street, 16th Floor, Houston, Texas 77002. The Company may appoint and change any Paying Agent or Registrar without notice to any Holder. The Company or any of its Subsidiaries may act as Paying Agent or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B-6</w:t>
      </w:r>
    </w:p>
    <w:p>
      <w:pPr>
        <w:sectPr>
          <w:pgSz w:w="11900" w:h="16838" w:orient="portrait"/>
          <w:cols w:equalWidth="0" w:num="1">
            <w:col w:w="11240"/>
          </w:cols>
          <w:pgMar w:left="320" w:top="1440" w:right="339" w:bottom="1440" w:gutter="0" w:footer="0" w:header="0"/>
        </w:sectPr>
      </w:pPr>
    </w:p>
    <w:bookmarkStart w:id="159" w:name="page160"/>
    <w:bookmarkEnd w:id="159"/>
    <w:p>
      <w:pPr>
        <w:ind w:left="380" w:hanging="375"/>
        <w:spacing w:after="0"/>
        <w:tabs>
          <w:tab w:leader="none" w:pos="3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Indenture.</w:t>
      </w:r>
    </w:p>
    <w:p>
      <w:pPr>
        <w:spacing w:after="0" w:line="221" w:lineRule="exact"/>
        <w:rPr>
          <w:sz w:val="20"/>
          <w:szCs w:val="20"/>
          <w:color w:val="auto"/>
        </w:rPr>
      </w:pPr>
    </w:p>
    <w:p>
      <w:pPr>
        <w:jc w:val="both"/>
        <w:ind w:firstLine="632"/>
        <w:spacing w:after="0" w:line="254" w:lineRule="auto"/>
        <w:rPr>
          <w:sz w:val="20"/>
          <w:szCs w:val="20"/>
          <w:color w:val="auto"/>
        </w:rPr>
      </w:pPr>
      <w:r>
        <w:rPr>
          <w:rFonts w:ascii="Times New Roman" w:cs="Times New Roman" w:eastAsia="Times New Roman" w:hAnsi="Times New Roman"/>
          <w:sz w:val="21"/>
          <w:szCs w:val="21"/>
          <w:color w:val="auto"/>
        </w:rPr>
        <w:t>The Company issued the Notes under an Indenture dated as of January 1, 2006 (the “Base Indenture”), as supplemented by the Fifteenth Supplemental Indenture dated as of November 6, 2025 (the “Fifteenth Supplemental Indenture,” and together with the Base Indenture, the “Indenture”) between the Company and the Trustee. The terms of the Notes include those stated in the Indenture and those made part of the Indenture by reference to the Trust Indenture Act of 1939, as amended (the “TIA”). The Notes are subject to all such terms, and Holders are referred to the Indenture and the TIA for a statement of such terms. To the extent any provision of this Note conflicts with the express provisions of the Indenture, the provisions of the Indenture shall govern and be controlling. The Notes are general unsecured obligations of the Company and are initially issued in an aggregate principal amount of $600,000,000. The Company may, subject to the provisions of the Indenture, issue additional Notes of the same series as the Notes from time to time without the consent of the Holders. The Notes initially issued and any additional Notes subsequently issued under the Indenture will be treated as a single series for all purposes of the Indenture, including, without limitation, with respect to waivers, amendments, supplements, redemptions and offers to purchase, provided that if any such additional Notes are not fungible with the Notes initially issued for United States federal income tax purposes, such additional Notes will have one or more separate CUSIP numbers from the Notes initially issued. The Indenture provides for the issuance of other series of debt securities (including the Notes, the “Securities”) thereunder.</w:t>
      </w:r>
    </w:p>
    <w:p>
      <w:pPr>
        <w:spacing w:after="0" w:line="170" w:lineRule="exact"/>
        <w:rPr>
          <w:sz w:val="20"/>
          <w:szCs w:val="20"/>
          <w:color w:val="auto"/>
        </w:rPr>
      </w:pPr>
    </w:p>
    <w:p>
      <w:pPr>
        <w:ind w:left="380" w:hanging="375"/>
        <w:spacing w:after="0"/>
        <w:tabs>
          <w:tab w:leader="none" w:pos="3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 Redemption</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Prior to May 15, 2055 (six months prior to the Stated Maturity of the Notes) (the “Par Call Date”), the Company may redeem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 at its option, in whole or in part, at any time and from time to time, at a Redemption Price equal to the greater of:</w:t>
      </w:r>
    </w:p>
    <w:p>
      <w:pPr>
        <w:spacing w:after="0" w:line="50" w:lineRule="exact"/>
        <w:rPr>
          <w:sz w:val="20"/>
          <w:szCs w:val="20"/>
          <w:color w:val="auto"/>
        </w:rPr>
      </w:pPr>
    </w:p>
    <w:p>
      <w:pPr>
        <w:jc w:val="both"/>
        <w:ind w:left="640" w:firstLine="881"/>
        <w:spacing w:after="0" w:line="225" w:lineRule="auto"/>
        <w:tabs>
          <w:tab w:leader="none" w:pos="189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sum of the present values of the Remaining Scheduled Payments on the Notes to be redeemed discounted to the Redemption Date (assuming the Notes to be redeemed matured on the Par Call Date) on a semi-annual basis (assuming a 360-day year consisting of twelve 30-day months) at the Treasury Rate plus 30 basis points, less (b) interest accrued to the Redemption Date; and</w:t>
      </w:r>
    </w:p>
    <w:p>
      <w:pPr>
        <w:spacing w:after="0" w:line="147" w:lineRule="exact"/>
        <w:rPr>
          <w:rFonts w:ascii="Times New Roman" w:cs="Times New Roman" w:eastAsia="Times New Roman" w:hAnsi="Times New Roman"/>
          <w:sz w:val="21"/>
          <w:szCs w:val="21"/>
          <w:color w:val="auto"/>
        </w:rPr>
      </w:pPr>
    </w:p>
    <w:p>
      <w:pPr>
        <w:ind w:left="1900" w:hanging="379"/>
        <w:spacing w:after="0"/>
        <w:tabs>
          <w:tab w:leader="none" w:pos="190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 of the principal amount of the Notes to be redeemed;</w:t>
      </w:r>
    </w:p>
    <w:p>
      <w:pPr>
        <w:spacing w:after="0" w:line="205"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plus, in either case, accrued and unpaid interest thereon to, but not including, the Redemption Date.</w:t>
      </w:r>
    </w:p>
    <w:p>
      <w:pPr>
        <w:spacing w:after="0" w:line="219" w:lineRule="exact"/>
        <w:rPr>
          <w:sz w:val="20"/>
          <w:szCs w:val="20"/>
          <w:color w:val="auto"/>
        </w:rPr>
      </w:pPr>
    </w:p>
    <w:p>
      <w:pPr>
        <w:ind w:right="180" w:firstLine="211"/>
        <w:spacing w:after="0" w:line="271" w:lineRule="auto"/>
        <w:rPr>
          <w:sz w:val="20"/>
          <w:szCs w:val="20"/>
          <w:color w:val="auto"/>
        </w:rPr>
      </w:pPr>
      <w:r>
        <w:rPr>
          <w:rFonts w:ascii="Times New Roman" w:cs="Times New Roman" w:eastAsia="Times New Roman" w:hAnsi="Times New Roman"/>
          <w:sz w:val="21"/>
          <w:szCs w:val="21"/>
          <w:color w:val="auto"/>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spacing w:after="0" w:line="154" w:lineRule="exact"/>
        <w:rPr>
          <w:sz w:val="20"/>
          <w:szCs w:val="20"/>
          <w:color w:val="auto"/>
        </w:rPr>
      </w:pPr>
    </w:p>
    <w:p>
      <w:pPr>
        <w:ind w:left="380" w:hanging="375"/>
        <w:spacing w:after="0"/>
        <w:tabs>
          <w:tab w:leader="none" w:pos="3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 Redemption.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Company will not be required to make mandatory redemption or sinking fund payments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B-7</w:t>
      </w:r>
    </w:p>
    <w:p>
      <w:pPr>
        <w:sectPr>
          <w:pgSz w:w="11900" w:h="16838" w:orient="portrait"/>
          <w:cols w:equalWidth="0" w:num="1">
            <w:col w:w="11240"/>
          </w:cols>
          <w:pgMar w:left="320" w:top="1387" w:right="339" w:bottom="1440" w:gutter="0" w:footer="0" w:header="0"/>
        </w:sectPr>
      </w:pPr>
    </w:p>
    <w:bookmarkStart w:id="160" w:name="page161"/>
    <w:bookmarkEnd w:id="160"/>
    <w:p>
      <w:pPr>
        <w:ind w:left="380" w:hanging="375"/>
        <w:spacing w:after="0"/>
        <w:tabs>
          <w:tab w:leader="none" w:pos="38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of Redemption.</w:t>
      </w:r>
    </w:p>
    <w:p>
      <w:pPr>
        <w:spacing w:after="0" w:line="221" w:lineRule="exact"/>
        <w:rPr>
          <w:sz w:val="20"/>
          <w:szCs w:val="20"/>
          <w:color w:val="auto"/>
        </w:rPr>
      </w:pPr>
    </w:p>
    <w:p>
      <w:pPr>
        <w:jc w:val="both"/>
        <w:ind w:firstLine="263"/>
        <w:spacing w:after="0" w:line="264" w:lineRule="auto"/>
        <w:rPr>
          <w:sz w:val="20"/>
          <w:szCs w:val="20"/>
          <w:color w:val="auto"/>
        </w:rPr>
      </w:pPr>
      <w:r>
        <w:rPr>
          <w:rFonts w:ascii="Times New Roman" w:cs="Times New Roman" w:eastAsia="Times New Roman" w:hAnsi="Times New Roman"/>
          <w:sz w:val="21"/>
          <w:szCs w:val="21"/>
          <w:color w:val="auto"/>
        </w:rPr>
        <w:t>The Company shall deliver notice of a redemption not less than 10 days nor more than 60 days before the Redemption Date to Holders of Notes to be redeemed. Once notice of redemption is sent, subject to the satisfaction of any conditions precedent provided in the notice of redemption, the Notes called for redemption will become due and payable on the Redemption Date at the applicable Redemption Price.</w:t>
      </w:r>
    </w:p>
    <w:p>
      <w:pPr>
        <w:spacing w:after="0" w:line="159" w:lineRule="exact"/>
        <w:rPr>
          <w:sz w:val="20"/>
          <w:szCs w:val="20"/>
          <w:color w:val="auto"/>
        </w:rPr>
      </w:pPr>
    </w:p>
    <w:p>
      <w:pPr>
        <w:ind w:left="380" w:hanging="375"/>
        <w:spacing w:after="0"/>
        <w:tabs>
          <w:tab w:leader="none" w:pos="38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Repurchase at the Option of Holder.</w:t>
      </w:r>
    </w:p>
    <w:p>
      <w:pPr>
        <w:spacing w:after="0" w:line="221" w:lineRule="exact"/>
        <w:rPr>
          <w:rFonts w:ascii="Times New Roman" w:cs="Times New Roman" w:eastAsia="Times New Roman" w:hAnsi="Times New Roman"/>
          <w:sz w:val="21"/>
          <w:szCs w:val="21"/>
          <w:color w:val="auto"/>
        </w:rPr>
      </w:pPr>
    </w:p>
    <w:p>
      <w:pPr>
        <w:ind w:left="960" w:right="240" w:hanging="323"/>
        <w:spacing w:after="0" w:line="256" w:lineRule="auto"/>
        <w:tabs>
          <w:tab w:leader="none" w:pos="957"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of Control Triggering Event, unless the Company has exercised its right to optionally redeem the Notes, each Holder will have the right to require the Company to purchase all or a portion ($1,000 or an integral multiple of $1,000 in excess thereof) of such Holder’s Notes pursuant to the Change of Control Offer, at a purchase price equal to 101% of the principal amount thereof, plus accrued and unpaid interest, if any, to, but not including, the Change of Control Payment Date, subject to the rights of Holders on the relevant record date to receive interest due on the relevant Interest Payment Date; provided that the principal amount of a Note remaining outstanding after a repurchase in part shall be $2,000 or an integral multiple of $1,000 in excess thereof.</w:t>
      </w:r>
    </w:p>
    <w:p>
      <w:pPr>
        <w:spacing w:after="0" w:line="170" w:lineRule="exact"/>
        <w:rPr>
          <w:rFonts w:ascii="Times New Roman" w:cs="Times New Roman" w:eastAsia="Times New Roman" w:hAnsi="Times New Roman"/>
          <w:sz w:val="21"/>
          <w:szCs w:val="21"/>
          <w:color w:val="auto"/>
        </w:rPr>
      </w:pPr>
    </w:p>
    <w:p>
      <w:pPr>
        <w:ind w:left="960" w:right="40" w:hanging="323"/>
        <w:spacing w:after="0" w:line="258" w:lineRule="auto"/>
        <w:tabs>
          <w:tab w:leader="none" w:pos="95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following the date upon which the Change of Control Triggering Event occurred, or at the Company’s option, prior to any Change of Control but after the public announcement of the pending Change of Control, the Company will be required to deliver a notice to each Holder of the Notes not redeemed, with a copy to the Trustee, which notice will govern the terms of the Change of Control Offer. Such notice will, among other things, state the Change of Control Payment Date, which must be no earlier than 30 days nor later than 60 days from the date such notice is sent, other than as may be required by applicable law, describe the transaction or transactions constituting the Change of Control Triggering Event and offer to repurchase the Notes.</w:t>
      </w:r>
    </w:p>
    <w:p>
      <w:pPr>
        <w:spacing w:after="0" w:line="36" w:lineRule="exact"/>
        <w:rPr>
          <w:rFonts w:ascii="Times New Roman" w:cs="Times New Roman" w:eastAsia="Times New Roman" w:hAnsi="Times New Roman"/>
          <w:sz w:val="21"/>
          <w:szCs w:val="21"/>
          <w:color w:val="auto"/>
        </w:rPr>
      </w:pPr>
    </w:p>
    <w:p>
      <w:pPr>
        <w:ind w:left="380" w:hanging="375"/>
        <w:spacing w:after="0"/>
        <w:tabs>
          <w:tab w:leader="none" w:pos="38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Denominations; Transfer; Exchange.</w:t>
      </w:r>
    </w:p>
    <w:p>
      <w:pPr>
        <w:spacing w:after="0" w:line="234" w:lineRule="exact"/>
        <w:rPr>
          <w:sz w:val="20"/>
          <w:szCs w:val="20"/>
          <w:color w:val="auto"/>
        </w:rPr>
      </w:pPr>
    </w:p>
    <w:p>
      <w:pPr>
        <w:jc w:val="both"/>
        <w:ind w:firstLine="245"/>
        <w:spacing w:after="0" w:line="255" w:lineRule="auto"/>
        <w:rPr>
          <w:sz w:val="20"/>
          <w:szCs w:val="20"/>
          <w:color w:val="auto"/>
        </w:rPr>
      </w:pPr>
      <w:r>
        <w:rPr>
          <w:rFonts w:ascii="Times New Roman" w:cs="Times New Roman" w:eastAsia="Times New Roman" w:hAnsi="Times New Roman"/>
          <w:sz w:val="21"/>
          <w:szCs w:val="21"/>
          <w:color w:val="auto"/>
        </w:rPr>
        <w:t>The Notes initially are issued in permanent global form. Under certain circumstances described in the Indenture, Notes may also be issued in the form of certificated Notes in fully registered form, without coupons, in minimum denominations of $2,000 and integral multiples of $1,000 in excess thereof. The Registrar may require a Holder, among other things, to furnish appropriate endorsements and transfer documents and to pay any transfer taxes or similar governmental changes required by law or permitted by the Indenture. The Registrar need not register the transfer or exchange of any Notes selected for redemption in whole or in part (except the unredeemed portion of any Note to be redeemed in part) or any Notes during a period beginning 15 Business Days prior to the delivery of the relevant notice of redemption or repurchase and ending on the close of business on the day of delivery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B-8</w:t>
      </w:r>
    </w:p>
    <w:p>
      <w:pPr>
        <w:sectPr>
          <w:pgSz w:w="11900" w:h="16838" w:orient="portrait"/>
          <w:cols w:equalWidth="0" w:num="1">
            <w:col w:w="11240"/>
          </w:cols>
          <w:pgMar w:left="320" w:top="1387" w:right="339" w:bottom="1440" w:gutter="0" w:footer="0" w:header="0"/>
        </w:sectPr>
      </w:pPr>
    </w:p>
    <w:bookmarkStart w:id="161" w:name="page162"/>
    <w:bookmarkEnd w:id="161"/>
    <w:p>
      <w:pPr>
        <w:ind w:left="480" w:hanging="475"/>
        <w:spacing w:after="0"/>
        <w:tabs>
          <w:tab w:leader="none" w:pos="4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Persons Deemed Owners.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registered Holder of a Note may be treated as its owner for all purposes.</w:t>
      </w:r>
    </w:p>
    <w:p>
      <w:pPr>
        <w:spacing w:after="0" w:line="217" w:lineRule="exact"/>
        <w:rPr>
          <w:sz w:val="20"/>
          <w:szCs w:val="20"/>
          <w:color w:val="auto"/>
        </w:rPr>
      </w:pPr>
    </w:p>
    <w:p>
      <w:pPr>
        <w:ind w:left="480" w:hanging="475"/>
        <w:spacing w:after="0"/>
        <w:tabs>
          <w:tab w:leader="none" w:pos="4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 Waiver.</w:t>
      </w:r>
    </w:p>
    <w:p>
      <w:pPr>
        <w:spacing w:after="0" w:line="234"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Subject to certain exceptions and limitations, the Indenture or the Securities may be amended or supplemented with the consent of the Holders of at least a majority in principal amount of the then outstanding Securities of all series affected by such amendment or supplement (acting as one class), and any existing or past Default or Event of Default under, or compliance with any provision of, the Indenture may be waived (other than any continuing Default or Event of Default in the payment of the principal of, premium (if any) on or interest on the Securities) by the Holders of at least a majority in principal amount of the then outstanding Securities of any series or of all series (acting as one class) in accordance with the terms of the Indenture. Subject to certain exceptions set forth in the Indenture, without the consent of any Holder, the Company and the Trustee may amend or supplement the Indenture or the Securities in certain respects set forth in the Indenture.</w:t>
      </w:r>
    </w:p>
    <w:p>
      <w:pPr>
        <w:spacing w:after="0" w:line="17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Without the consent of each Holder affected, the Company may not (i) reduce the amount of Securities whose Holders must consent to an amendment, supplement or waiver; (ii) reduce the rate of or change the time for payment of interest, including default interest, on any Security; (iii) reduce the principal of or premium on, or change the Stated Maturity of, any Security; (iv) reduce the premium, if any, payable upon the redemption of any Security or change the time at which any Security may or shall be redeemed;</w:t>
      </w:r>
    </w:p>
    <w:p>
      <w:pPr>
        <w:spacing w:after="0" w:line="3" w:lineRule="exact"/>
        <w:rPr>
          <w:sz w:val="20"/>
          <w:szCs w:val="20"/>
          <w:color w:val="auto"/>
        </w:rPr>
      </w:pPr>
    </w:p>
    <w:p>
      <w:pPr>
        <w:jc w:val="both"/>
        <w:ind w:firstLine="5"/>
        <w:spacing w:after="0" w:line="248" w:lineRule="auto"/>
        <w:tabs>
          <w:tab w:leader="none" w:pos="30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any obligation of the Company to pay Additional Amounts with respect to any Security; (vi) change the coin or currency in which any Security or any premium or interest with respect thereto is payable; (vii) impair the right to institute suit for the enforcement of any payment of principal of or premium (if any) or interest on any Security, except as provided in the Indenture;</w:t>
      </w:r>
    </w:p>
    <w:p>
      <w:pPr>
        <w:spacing w:after="0" w:line="1" w:lineRule="exact"/>
        <w:rPr>
          <w:rFonts w:ascii="Times New Roman" w:cs="Times New Roman" w:eastAsia="Times New Roman" w:hAnsi="Times New Roman"/>
          <w:sz w:val="21"/>
          <w:szCs w:val="21"/>
          <w:color w:val="auto"/>
        </w:rPr>
      </w:pPr>
    </w:p>
    <w:p>
      <w:pPr>
        <w:jc w:val="both"/>
        <w:ind w:firstLine="5"/>
        <w:spacing w:after="0" w:line="260" w:lineRule="auto"/>
        <w:tabs>
          <w:tab w:leader="none" w:pos="47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in the percentage of principal amount of Securities necessary to waive compliance with certain provisions of the Indenture or make any change in the provision for modification; or (ix) waive a continuing Default or Event of Default in the payment of principal of or premium (if any) or interest on the Securities.</w:t>
      </w:r>
    </w:p>
    <w:p>
      <w:pPr>
        <w:spacing w:after="0" w:line="165"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A supplemental indenture that changes or eliminates any covenant or other provision of the Indenture which has expressly been included solely for the benefit of one or more particular series of Securities under the Indenture, or which modifies the rights of the Holders of Securities of such series with respect to such covenant or other provision, shall be deemed not to affect the rights under the Indenture of the Holders of Securities of any other series.</w:t>
      </w:r>
    </w:p>
    <w:p>
      <w:pPr>
        <w:spacing w:after="0" w:line="159" w:lineRule="exact"/>
        <w:rPr>
          <w:sz w:val="20"/>
          <w:szCs w:val="20"/>
          <w:color w:val="auto"/>
        </w:rPr>
      </w:pPr>
    </w:p>
    <w:p>
      <w:pPr>
        <w:ind w:left="480" w:hanging="475"/>
        <w:spacing w:after="0"/>
        <w:tabs>
          <w:tab w:leader="none" w:pos="48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Defaults and Remedies.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Under the Indenture, Events of Default include (i) default in the payment of interest that continues for a period of 30 days;</w:t>
      </w:r>
    </w:p>
    <w:p>
      <w:pPr>
        <w:spacing w:after="0" w:line="33" w:lineRule="exact"/>
        <w:rPr>
          <w:sz w:val="20"/>
          <w:szCs w:val="20"/>
          <w:color w:val="auto"/>
        </w:rPr>
      </w:pPr>
    </w:p>
    <w:p>
      <w:pPr>
        <w:jc w:val="both"/>
        <w:ind w:firstLine="5"/>
        <w:spacing w:after="0" w:line="253" w:lineRule="auto"/>
        <w:tabs>
          <w:tab w:leader="none" w:pos="32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any payment of principal of or premium, if any, on the Notes when due and payable; (iii) failure by the Company to comply with any of its other covenants or agreements in the Indenture or the Notes, which shall not have been remedied within the specified time period after written notice; and (iv) certain events of bankruptcy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B-9</w:t>
      </w:r>
    </w:p>
    <w:p>
      <w:pPr>
        <w:sectPr>
          <w:pgSz w:w="11900" w:h="16838" w:orient="portrait"/>
          <w:cols w:equalWidth="0" w:num="1">
            <w:col w:w="11240"/>
          </w:cols>
          <w:pgMar w:left="320" w:top="1386" w:right="339" w:bottom="1440" w:gutter="0" w:footer="0" w:header="0"/>
        </w:sectPr>
      </w:pPr>
    </w:p>
    <w:bookmarkStart w:id="162" w:name="page163"/>
    <w:bookmarkEnd w:id="162"/>
    <w:p>
      <w:pPr>
        <w:spacing w:after="0" w:line="260" w:lineRule="auto"/>
        <w:rPr>
          <w:sz w:val="20"/>
          <w:szCs w:val="20"/>
          <w:color w:val="auto"/>
        </w:rPr>
      </w:pPr>
      <w:r>
        <w:rPr>
          <w:rFonts w:ascii="Times New Roman" w:cs="Times New Roman" w:eastAsia="Times New Roman" w:hAnsi="Times New Roman"/>
          <w:sz w:val="21"/>
          <w:szCs w:val="21"/>
          <w:color w:val="auto"/>
        </w:rPr>
        <w:t>insolvency with respect to the Company. If an Event of Default occurs and is continuing, either the Trustee or the Holders of at least 25% in aggregate principal amount of the Notes at the time outstanding (or, in the case of an Event of Default described in clause</w:t>
      </w:r>
    </w:p>
    <w:p>
      <w:pPr>
        <w:spacing w:after="0" w:line="1" w:lineRule="exact"/>
        <w:rPr>
          <w:sz w:val="20"/>
          <w:szCs w:val="20"/>
          <w:color w:val="auto"/>
        </w:rPr>
      </w:pPr>
    </w:p>
    <w:p>
      <w:pPr>
        <w:jc w:val="both"/>
        <w:ind w:firstLine="5"/>
        <w:spacing w:after="0" w:line="254" w:lineRule="auto"/>
        <w:tabs>
          <w:tab w:leader="none" w:pos="38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if outstanding Securities of other series are affected by such Default, then at least 25% in principal amount of the then outstanding Securities so affected), may declare the principal amount of all the Securities (or the Notes) to be due and payable immediately, together with accrued and unpaid interest thereon. Certain events of bankruptcy or insolvency are Events of Default that will result in the principal amount of the Notes, together with accrued and unpaid interest thereon, becoming due and payable immediately upon the occurrence of such Events of Default.</w:t>
      </w:r>
    </w:p>
    <w:p>
      <w:pPr>
        <w:spacing w:after="0" w:line="172"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As set forth in, and subject to the provisions of, the Indenture, no Holder of any Securities shall have any right to institute any proceeding, judicial or otherwise, with respect to the Indenture, or for the appointment of a receiver or trustee, or for any other remedy thereunder, unless certain conditions set forth in the Indenture have been satisfied. The Trustee may refuse to enforce the Indenture or the Securities unless it receives indemnity satisfactory to it. Subject to certain limitations (including that, in some cases, a majority in principal amount of all outstanding Securities (or the Notes) is required), Holders of a majority in aggregate principal amount of the outstanding Securities (or the Notes) have the right to direct the time, method and place of conducting certain proceedings, or exercising any trust or power conferred on the Trustee.</w:t>
      </w:r>
    </w:p>
    <w:p>
      <w:pPr>
        <w:spacing w:after="0" w:line="182" w:lineRule="exact"/>
        <w:rPr>
          <w:sz w:val="20"/>
          <w:szCs w:val="20"/>
          <w:color w:val="auto"/>
        </w:rPr>
      </w:pPr>
    </w:p>
    <w:p>
      <w:pPr>
        <w:ind w:left="480" w:hanging="475"/>
        <w:spacing w:after="0"/>
        <w:tabs>
          <w:tab w:leader="none" w:pos="48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 Dealings with the Company.</w:t>
      </w:r>
    </w:p>
    <w:p>
      <w:pPr>
        <w:spacing w:after="0" w:line="221"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Subject to certain limitations imposed by the TIA, the Trustee under the Indenture, in its individual or any other capacity, may become the owner or pledgee of Notes and may otherwise deal with the Company with the same rights it would have if it were not Trustee.</w:t>
      </w:r>
    </w:p>
    <w:p>
      <w:pPr>
        <w:spacing w:after="0" w:line="159" w:lineRule="exact"/>
        <w:rPr>
          <w:sz w:val="20"/>
          <w:szCs w:val="20"/>
          <w:color w:val="auto"/>
        </w:rPr>
      </w:pPr>
    </w:p>
    <w:p>
      <w:pPr>
        <w:ind w:left="480" w:hanging="475"/>
        <w:spacing w:after="0"/>
        <w:tabs>
          <w:tab w:leader="none" w:pos="48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Discharge Prior to Maturity</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The Indenture with respect to the Notes shall be discharged and canceled upon the payment of all of the Notes and shall be discharged except for certain obligations upon the irrevocable deposit with the Trustee of any combination of funds and U.S. Government Obligations sufficient for such payment as provided in the Indenture.</w:t>
      </w:r>
    </w:p>
    <w:p>
      <w:pPr>
        <w:spacing w:after="0" w:line="159" w:lineRule="exact"/>
        <w:rPr>
          <w:sz w:val="20"/>
          <w:szCs w:val="20"/>
          <w:color w:val="auto"/>
        </w:rPr>
      </w:pPr>
    </w:p>
    <w:p>
      <w:pPr>
        <w:ind w:left="480" w:hanging="475"/>
        <w:spacing w:after="0"/>
        <w:tabs>
          <w:tab w:leader="none" w:pos="48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Recourse Against Others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A director, officer, member, manager, employee, stockholder, partner or other owner of the Company or the Trustee, as such, shall not have any liability for any obligations of the Company under the Notes, or for any obligations of the Company or the Trustee under the Indenture or for any claim based on, in respect of or by reason of such obligations or their creation. Each Holder by accepting a Note waives and releases all such liability. The waiver and release shall be part of the consideration for the issuance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B-10</w:t>
      </w:r>
    </w:p>
    <w:p>
      <w:pPr>
        <w:sectPr>
          <w:pgSz w:w="11900" w:h="16838" w:orient="portrait"/>
          <w:cols w:equalWidth="0" w:num="1">
            <w:col w:w="11240"/>
          </w:cols>
          <w:pgMar w:left="320" w:top="1389" w:right="339" w:bottom="1440" w:gutter="0" w:footer="0" w:header="0"/>
        </w:sectPr>
      </w:pPr>
    </w:p>
    <w:bookmarkStart w:id="163" w:name="page164"/>
    <w:bookmarkEnd w:id="163"/>
    <w:p>
      <w:pPr>
        <w:ind w:left="480" w:hanging="475"/>
        <w:spacing w:after="0"/>
        <w:tabs>
          <w:tab w:leader="none" w:pos="48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CUSIP Numbers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firstLine="250"/>
        <w:spacing w:after="0" w:line="264" w:lineRule="auto"/>
        <w:rPr>
          <w:sz w:val="20"/>
          <w:szCs w:val="20"/>
          <w:color w:val="auto"/>
        </w:rPr>
      </w:pPr>
      <w:r>
        <w:rPr>
          <w:rFonts w:ascii="Times New Roman" w:cs="Times New Roman" w:eastAsia="Times New Roman" w:hAnsi="Times New Roman"/>
          <w:sz w:val="21"/>
          <w:szCs w:val="21"/>
          <w:color w:val="auto"/>
        </w:rPr>
        <w:t>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9" w:lineRule="exact"/>
        <w:rPr>
          <w:sz w:val="20"/>
          <w:szCs w:val="20"/>
          <w:color w:val="auto"/>
        </w:rPr>
      </w:pPr>
    </w:p>
    <w:p>
      <w:pPr>
        <w:ind w:left="480" w:hanging="475"/>
        <w:spacing w:after="0"/>
        <w:tabs>
          <w:tab w:leader="none" w:pos="48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Abbreviations.</w:t>
      </w:r>
    </w:p>
    <w:p>
      <w:pPr>
        <w:spacing w:after="0" w:line="221" w:lineRule="exact"/>
        <w:rPr>
          <w:sz w:val="20"/>
          <w:szCs w:val="20"/>
          <w:color w:val="auto"/>
        </w:rPr>
      </w:pPr>
    </w:p>
    <w:p>
      <w:pPr>
        <w:jc w:val="both"/>
        <w:ind w:firstLine="250"/>
        <w:spacing w:after="0" w:line="271" w:lineRule="auto"/>
        <w:rPr>
          <w:sz w:val="20"/>
          <w:szCs w:val="20"/>
          <w:color w:val="auto"/>
        </w:rPr>
      </w:pPr>
      <w:r>
        <w:rPr>
          <w:rFonts w:ascii="Times New Roman" w:cs="Times New Roman" w:eastAsia="Times New Roman" w:hAnsi="Times New Roman"/>
          <w:sz w:val="21"/>
          <w:szCs w:val="21"/>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B-11</w:t>
      </w:r>
    </w:p>
    <w:p>
      <w:pPr>
        <w:sectPr>
          <w:pgSz w:w="11900" w:h="16838" w:orient="portrait"/>
          <w:cols w:equalWidth="0" w:num="1">
            <w:col w:w="11240"/>
          </w:cols>
          <w:pgMar w:left="320" w:top="1386" w:right="339" w:bottom="1440" w:gutter="0" w:footer="0" w:header="0"/>
        </w:sectPr>
      </w:pPr>
    </w:p>
    <w:bookmarkStart w:id="164" w:name="page165"/>
    <w:bookmarkEnd w:id="164"/>
    <w:p>
      <w:pPr>
        <w:spacing w:after="0" w:line="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color w:val="auto"/>
        </w:rPr>
        <w:t>ASSIGNMENT FORM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assign this Note, fill in the form below: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or we assign and transfer this Note to</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______________________________________________________________________________</w:t>
      </w:r>
    </w:p>
    <w:p>
      <w:pPr>
        <w:ind w:left="23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______________________________________________________________________________</w:t>
      </w:r>
    </w:p>
    <w:p>
      <w:pPr>
        <w:ind w:left="274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and irrevocably appoint </w:t>
      </w:r>
      <w:r>
        <w:rPr>
          <w:rFonts w:ascii="Times New Roman" w:cs="Times New Roman" w:eastAsia="Times New Roman" w:hAnsi="Times New Roman"/>
          <w:sz w:val="21"/>
          <w:szCs w:val="21"/>
          <w:u w:val="single" w:color="auto"/>
          <w:color w:val="auto"/>
        </w:rPr>
        <w:t>__________________________________________________________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agent to transfer this Note on the books of the Company. The agent may substitute another to act for him.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______________________________________________________________________________</w:t>
      </w:r>
    </w:p>
    <w:p>
      <w:pPr>
        <w:spacing w:after="0" w:line="2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0"/>
          <w:szCs w:val="20"/>
          <w:color w:val="auto"/>
        </w:rPr>
        <w:t>Your Signature:</w:t>
      </w:r>
    </w:p>
    <w:p>
      <w:pPr>
        <w:ind w:left="80"/>
        <w:spacing w:after="0" w:line="233" w:lineRule="auto"/>
        <w:rPr>
          <w:sz w:val="20"/>
          <w:szCs w:val="20"/>
          <w:color w:val="auto"/>
        </w:rPr>
      </w:pPr>
      <w:r>
        <w:rPr>
          <w:rFonts w:ascii="Times New Roman" w:cs="Times New Roman" w:eastAsia="Times New Roman" w:hAnsi="Times New Roman"/>
          <w:sz w:val="21"/>
          <w:szCs w:val="21"/>
          <w:color w:val="auto"/>
        </w:rPr>
        <w:t>_______________________</w:t>
      </w:r>
    </w:p>
    <w:p>
      <w:pPr>
        <w:ind w:left="180"/>
        <w:spacing w:after="0"/>
        <w:rPr>
          <w:sz w:val="20"/>
          <w:szCs w:val="20"/>
          <w:color w:val="auto"/>
        </w:rPr>
      </w:pPr>
      <w:r>
        <w:rPr>
          <w:rFonts w:ascii="Times New Roman" w:cs="Times New Roman" w:eastAsia="Times New Roman" w:hAnsi="Times New Roman"/>
          <w:sz w:val="18"/>
          <w:szCs w:val="18"/>
          <w:color w:val="auto"/>
        </w:rPr>
        <w:t>Sign exactly as your name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appears on the other side of this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Your Signature</w:t>
      </w:r>
    </w:p>
    <w:p>
      <w:pPr>
        <w:spacing w:after="0" w:line="287" w:lineRule="exact"/>
        <w:rPr>
          <w:sz w:val="20"/>
          <w:szCs w:val="20"/>
          <w:color w:val="auto"/>
        </w:rPr>
      </w:pPr>
    </w:p>
    <w:p>
      <w:pPr>
        <w:ind w:left="120"/>
        <w:spacing w:after="0"/>
        <w:tabs>
          <w:tab w:leader="none" w:pos="2040" w:val="left"/>
        </w:tabs>
        <w:rPr>
          <w:sz w:val="20"/>
          <w:szCs w:val="20"/>
          <w:color w:val="auto"/>
        </w:rPr>
      </w:pPr>
      <w:r>
        <w:rPr>
          <w:rFonts w:ascii="Times New Roman" w:cs="Times New Roman" w:eastAsia="Times New Roman" w:hAnsi="Times New Roman"/>
          <w:sz w:val="21"/>
          <w:szCs w:val="21"/>
          <w:color w:val="auto"/>
        </w:rPr>
        <w:t>Signature Guarantee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__________________________________________</w:t>
      </w:r>
    </w:p>
    <w:p>
      <w:pPr>
        <w:spacing w:after="0" w:line="34" w:lineRule="exact"/>
        <w:rPr>
          <w:sz w:val="20"/>
          <w:szCs w:val="20"/>
          <w:color w:val="auto"/>
        </w:rPr>
      </w:pPr>
    </w:p>
    <w:p>
      <w:pPr>
        <w:ind w:left="2100" w:right="1619"/>
        <w:spacing w:after="0" w:line="249" w:lineRule="auto"/>
        <w:rPr>
          <w:sz w:val="20"/>
          <w:szCs w:val="20"/>
          <w:color w:val="auto"/>
        </w:rPr>
      </w:pPr>
      <w:r>
        <w:rPr>
          <w:rFonts w:ascii="Times New Roman" w:cs="Times New Roman" w:eastAsia="Times New Roman" w:hAnsi="Times New Roman"/>
          <w:sz w:val="18"/>
          <w:szCs w:val="18"/>
          <w:color w:val="auto"/>
        </w:rPr>
        <w:t>Signature must be guaranteed by a participant in a recognized signature guaranty medallion program or other signature guarantor acceptable to the Trustee</w:t>
      </w:r>
    </w:p>
    <w:p>
      <w:pPr>
        <w:spacing w:after="0" w:line="200" w:lineRule="exact"/>
        <w:rPr>
          <w:sz w:val="20"/>
          <w:szCs w:val="20"/>
          <w:color w:val="auto"/>
        </w:rPr>
      </w:pPr>
    </w:p>
    <w:p>
      <w:pPr>
        <w:spacing w:after="0" w:line="240"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21"/>
          <w:szCs w:val="21"/>
          <w:color w:val="auto"/>
        </w:rPr>
        <w:t>Date:</w:t>
      </w:r>
      <w:r>
        <w:rPr>
          <w:rFonts w:ascii="Times New Roman" w:cs="Times New Roman" w:eastAsia="Times New Roman" w:hAnsi="Times New Roman"/>
          <w:sz w:val="21"/>
          <w:szCs w:val="21"/>
          <w:u w:val="single" w:color="auto"/>
          <w:color w:val="auto"/>
        </w:rPr>
        <w:t>__________________________</w:t>
      </w:r>
      <w:r>
        <w:rPr>
          <w:sz w:val="20"/>
          <w:szCs w:val="20"/>
          <w:color w:val="auto"/>
        </w:rPr>
        <w:tab/>
      </w:r>
      <w:r>
        <w:rPr>
          <w:rFonts w:ascii="Times New Roman" w:cs="Times New Roman" w:eastAsia="Times New Roman" w:hAnsi="Times New Roman"/>
          <w:sz w:val="21"/>
          <w:szCs w:val="21"/>
          <w:u w:val="single" w:color="auto"/>
          <w:color w:val="auto"/>
        </w:rPr>
        <w:t>____________________________________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Signature of 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B-12</w:t>
      </w:r>
    </w:p>
    <w:p>
      <w:pPr>
        <w:sectPr>
          <w:pgSz w:w="11900" w:h="16838" w:orient="portrait"/>
          <w:cols w:equalWidth="0" w:num="1">
            <w:col w:w="10139"/>
          </w:cols>
          <w:pgMar w:left="320" w:top="1440" w:right="1440" w:bottom="1440" w:gutter="0" w:footer="0" w:header="0"/>
        </w:sectPr>
      </w:pPr>
    </w:p>
    <w:bookmarkStart w:id="165" w:name="page166"/>
    <w:bookmarkEnd w:id="1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WESTLAKE CORPORATION *</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40"/>
        <w:spacing w:after="0" w:line="215" w:lineRule="auto"/>
        <w:rPr>
          <w:sz w:val="20"/>
          <w:szCs w:val="20"/>
          <w:color w:val="auto"/>
        </w:rPr>
      </w:pPr>
      <w:r>
        <w:rPr>
          <w:rFonts w:ascii="Times New Roman" w:cs="Times New Roman" w:eastAsia="Times New Roman" w:hAnsi="Times New Roman"/>
          <w:sz w:val="14"/>
          <w:szCs w:val="14"/>
          <w:b w:val="1"/>
          <w:bCs w:val="1"/>
          <w:color w:val="auto"/>
        </w:rPr>
        <w:t>of Incorporation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20" w:type="dxa"/>
            <w:vAlign w:val="bottom"/>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00" w:type="dxa"/>
            <w:vAlign w:val="bottom"/>
          </w:tcPr>
          <w:p>
            <w:pPr>
              <w:spacing w:after="0"/>
              <w:rPr>
                <w:sz w:val="16"/>
                <w:szCs w:val="16"/>
                <w:color w:val="auto"/>
              </w:rPr>
            </w:pP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Names Doing Business</w:t>
            </w:r>
          </w:p>
        </w:tc>
      </w:tr>
      <w:tr>
        <w:trPr>
          <w:trHeight w:val="25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Eagle Spinco Inc.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Eagle Spinco Inc.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Rome Delaware Corp.</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Rome Delaware Corp.</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Taiwan Chlorine Industries, Ltd.</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Kaohsiung, Taiwan</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Chlorine Industries, Ltd.</w:t>
            </w:r>
          </w:p>
        </w:tc>
      </w:tr>
      <w:tr>
        <w:trPr>
          <w:trHeight w:val="23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Canada Inc.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Toronto, Canada</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Pipe &amp; Fittings, Westlake Royal Building</w:t>
            </w:r>
          </w:p>
        </w:tc>
      </w:tr>
      <w:tr>
        <w:trPr>
          <w:trHeight w:val="228"/>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Royal Building</w:t>
            </w:r>
          </w:p>
        </w:tc>
      </w:tr>
      <w:tr>
        <w:trPr>
          <w:trHeight w:val="271"/>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 Canada Inc.</w:t>
            </w:r>
          </w:p>
        </w:tc>
        <w:tc>
          <w:tcPr>
            <w:tcW w:w="3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Montreal, Canada</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Canada Inc.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 OpCo LP</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OpCo LP</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 Partners GP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Partners GP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 Partners LP</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Partners LP</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Chemicals &amp; Vinyls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Chemicals &amp; Vinyls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Compounds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Compounds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DaVinci Roofscapes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DaVinci Roofscapes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Dimex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Dimex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Epoxy B.V.</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Rotterdam, The Netherlands</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Epoxy B.V.</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Epoxy GmbH</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Duisburg, Germany</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Epoxy GmbH</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Epoxy Inc.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Epoxy Inc.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Germany GmbH &amp; Co. KG</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Ismaning, Germany</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Germany GmbH &amp; Co. KG</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International I B.V.</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Rotterdam, The Netherlands</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International I B.V.</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Longview Corporation</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Longview Corporation</w:t>
            </w:r>
          </w:p>
        </w:tc>
      </w:tr>
      <w:tr>
        <w:trPr>
          <w:trHeight w:val="22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Management</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Shanghai, China</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Management</w:t>
            </w:r>
          </w:p>
        </w:tc>
      </w:tr>
      <w:tr>
        <w:trPr>
          <w:trHeight w:val="228"/>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(Shanghai) Co. Ltd</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(Shanghai) Co. Ltd</w:t>
            </w:r>
          </w:p>
        </w:tc>
      </w:tr>
      <w:tr>
        <w:trPr>
          <w:trHeight w:val="28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Management Services, Inc.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Management Services, Inc.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Natrium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Eagle Natrium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Petrochemicals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Petrochemicals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Pipe &amp; Fittings Corporation</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Pipe and Fittings Corporation</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Polymers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Polymers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Royal Building Products (USA) Inc.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Royal Building Products (USA) Inc.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Royal Building Products Inc.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Royal Building Products Inc.</w:t>
            </w:r>
          </w:p>
        </w:tc>
      </w:tr>
      <w:tr>
        <w:trPr>
          <w:trHeight w:val="3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Royal Roofing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Royal Roofing LLC</w:t>
            </w:r>
          </w:p>
        </w:tc>
      </w:tr>
      <w:tr>
        <w:trPr>
          <w:trHeight w:val="3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Royal Stone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Royal Stone LLC</w:t>
            </w:r>
          </w:p>
        </w:tc>
      </w:tr>
      <w:tr>
        <w:trPr>
          <w:trHeight w:val="3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Royal Windows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Royal Windows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Styrene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Styrene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Switzerland GmbH</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Baas, Switzerland</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Switzerland GmbH</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US 2 LLC</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US 2 LLC</w:t>
            </w:r>
          </w:p>
        </w:tc>
      </w:tr>
      <w:tr>
        <w:trPr>
          <w:trHeight w:val="27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Vinnolit GmbH &amp; Co. KG</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Ismaning, Germany</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Vinnolit GmbH &amp; Co. KG</w:t>
            </w:r>
          </w:p>
        </w:tc>
      </w:tr>
      <w:tr>
        <w:trPr>
          <w:trHeight w:val="882"/>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i</w:t>
            </w:r>
          </w:p>
        </w:tc>
        <w:tc>
          <w:tcPr>
            <w:tcW w:w="3800" w:type="dxa"/>
            <w:vAlign w:val="bottom"/>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Vinnolit Holdings GmbH</w:t>
            </w:r>
          </w:p>
        </w:tc>
        <w:tc>
          <w:tcPr>
            <w:tcW w:w="34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Ismaning, Germany</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Westlake Vinnolit Holdings GmbH</w:t>
            </w:r>
          </w:p>
        </w:tc>
      </w:tr>
      <w:tr>
        <w:trPr>
          <w:trHeight w:val="27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Vinnolit Italia S.r.L.</w:t>
            </w:r>
          </w:p>
        </w:tc>
        <w:tc>
          <w:tcPr>
            <w:tcW w:w="34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6"/>
              </w:rPr>
              <w:t>Milan, Italy</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Westlake Vinnolit Italia S.r.L.</w:t>
            </w:r>
          </w:p>
        </w:tc>
      </w:tr>
      <w:tr>
        <w:trPr>
          <w:trHeight w:val="27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Vinnolit Limited</w:t>
            </w:r>
          </w:p>
        </w:tc>
        <w:tc>
          <w:tcPr>
            <w:tcW w:w="34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Runcorn, United Kingdom</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Westlake Vinnolit Limited</w:t>
            </w:r>
          </w:p>
        </w:tc>
      </w:tr>
      <w:tr>
        <w:trPr>
          <w:trHeight w:val="27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Vinnolit Treuhand GmbH</w:t>
            </w:r>
          </w:p>
        </w:tc>
        <w:tc>
          <w:tcPr>
            <w:tcW w:w="34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Ismaning, Germany</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Westlake Vinnolit Treuhand GmbH</w:t>
            </w:r>
          </w:p>
        </w:tc>
      </w:tr>
      <w:tr>
        <w:trPr>
          <w:trHeight w:val="27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Vinyls Company LP</w:t>
            </w:r>
          </w:p>
        </w:tc>
        <w:tc>
          <w:tcPr>
            <w:tcW w:w="34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Delaware</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Westlake Vinyls Company LP</w:t>
            </w:r>
          </w:p>
        </w:tc>
      </w:tr>
      <w:tr>
        <w:trPr>
          <w:trHeight w:val="27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Vinyls, Inc.</w:t>
            </w:r>
          </w:p>
        </w:tc>
        <w:tc>
          <w:tcPr>
            <w:tcW w:w="34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Delaware</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Westlake Vinyls, Inc.</w:t>
            </w:r>
          </w:p>
        </w:tc>
      </w:tr>
      <w:tr>
        <w:trPr>
          <w:trHeight w:val="27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WPT LLC</w:t>
            </w:r>
          </w:p>
        </w:tc>
        <w:tc>
          <w:tcPr>
            <w:tcW w:w="34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Delaware</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WPT LLC</w:t>
            </w:r>
          </w:p>
        </w:tc>
      </w:tr>
      <w:tr>
        <w:trPr>
          <w:trHeight w:val="493"/>
        </w:trPr>
        <w:tc>
          <w:tcPr>
            <w:tcW w:w="35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w:t>
            </w:r>
          </w:p>
        </w:tc>
        <w:tc>
          <w:tcPr>
            <w:tcW w:w="342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pacing w:after="0" w:line="42" w:lineRule="exact"/>
        <w:rPr>
          <w:sz w:val="20"/>
          <w:szCs w:val="20"/>
          <w:color w:val="auto"/>
        </w:rPr>
      </w:pPr>
    </w:p>
    <w:p>
      <w:pPr>
        <w:ind w:left="400" w:hanging="395"/>
        <w:spacing w:after="0" w:line="268" w:lineRule="auto"/>
        <w:tabs>
          <w:tab w:leader="none" w:pos="2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 has elected to omit the names of certain subsidiaries. None of the omitted subsidiaries, considered either alone or together with the other omitted subsidiaries of its immediate parent, constitutes a “Significant Subsidiary” as set forth in Section 601(b)(21)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1003" w:right="4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09"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333-291208)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333-118205 and 333-271840) of Westlake Corporation of our report dated February 26, 2026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869"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96" w:lineRule="exact"/>
        <w:rPr>
          <w:sz w:val="20"/>
          <w:szCs w:val="20"/>
          <w:color w:val="auto"/>
        </w:rPr>
      </w:pPr>
    </w:p>
    <w:p>
      <w:pPr>
        <w:ind w:left="320" w:hanging="315"/>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Corporation (the "registrant");</w:t>
      </w:r>
    </w:p>
    <w:p>
      <w:pPr>
        <w:spacing w:after="0" w:line="82" w:lineRule="exact"/>
        <w:rPr>
          <w:rFonts w:ascii="Times New Roman" w:cs="Times New Roman" w:eastAsia="Times New Roman" w:hAnsi="Times New Roman"/>
          <w:sz w:val="18"/>
          <w:szCs w:val="18"/>
          <w:color w:val="auto"/>
        </w:rPr>
      </w:pPr>
    </w:p>
    <w:p>
      <w:pPr>
        <w:ind w:left="480" w:right="80" w:hanging="475"/>
        <w:spacing w:after="0" w:line="326" w:lineRule="auto"/>
        <w:tabs>
          <w:tab w:leader="none" w:pos="313"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80" w:right="40" w:hanging="475"/>
        <w:spacing w:after="0" w:line="268" w:lineRule="auto"/>
        <w:tabs>
          <w:tab w:leader="none" w:pos="3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18"/>
          <w:szCs w:val="18"/>
          <w:color w:val="auto"/>
        </w:rPr>
      </w:pPr>
    </w:p>
    <w:p>
      <w:pPr>
        <w:ind w:left="480" w:right="20" w:hanging="475"/>
        <w:spacing w:after="0" w:line="256" w:lineRule="auto"/>
        <w:tabs>
          <w:tab w:leader="none" w:pos="31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960" w:right="40" w:hanging="481"/>
        <w:spacing w:after="0" w:line="256" w:lineRule="auto"/>
        <w:tabs>
          <w:tab w:leader="none" w:pos="79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ind w:left="960" w:right="20" w:hanging="481"/>
        <w:spacing w:after="0" w:line="256" w:lineRule="auto"/>
        <w:tabs>
          <w:tab w:leader="none" w:pos="80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960" w:right="80" w:hanging="481"/>
        <w:spacing w:after="0" w:line="268" w:lineRule="auto"/>
        <w:tabs>
          <w:tab w:leader="none" w:pos="79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960" w:right="20" w:hanging="481"/>
        <w:spacing w:after="0" w:line="256" w:lineRule="auto"/>
        <w:tabs>
          <w:tab w:leader="none" w:pos="80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8"/>
          <w:szCs w:val="18"/>
          <w:color w:val="auto"/>
        </w:rPr>
      </w:pPr>
    </w:p>
    <w:p>
      <w:pPr>
        <w:ind w:left="480" w:right="460" w:hanging="475"/>
        <w:spacing w:after="0" w:line="268" w:lineRule="auto"/>
        <w:tabs>
          <w:tab w:leader="none" w:pos="31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8"/>
          <w:szCs w:val="18"/>
          <w:color w:val="auto"/>
        </w:rPr>
      </w:pPr>
    </w:p>
    <w:p>
      <w:pPr>
        <w:ind w:left="960" w:right="420" w:hanging="481"/>
        <w:spacing w:after="0" w:line="268" w:lineRule="auto"/>
        <w:tabs>
          <w:tab w:leader="none" w:pos="78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960" w:right="20" w:hanging="481"/>
        <w:spacing w:after="0" w:line="268" w:lineRule="auto"/>
        <w:tabs>
          <w:tab w:leader="none" w:pos="79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20"/>
        <w:spacing w:after="0"/>
        <w:tabs>
          <w:tab w:leader="none" w:pos="640" w:val="left"/>
          <w:tab w:leader="none" w:pos="798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6"/>
          <w:szCs w:val="16"/>
          <w:color w:val="auto"/>
        </w:rPr>
        <w:t>/s/ J</w:t>
      </w:r>
      <w:r>
        <w:rPr>
          <w:rFonts w:ascii="Times New Roman" w:cs="Times New Roman" w:eastAsia="Times New Roman" w:hAnsi="Times New Roman"/>
          <w:sz w:val="13"/>
          <w:szCs w:val="13"/>
          <w:color w:val="auto"/>
        </w:rPr>
        <w:t>EAN-MARC</w:t>
      </w:r>
      <w:r>
        <w:rPr>
          <w:rFonts w:ascii="Times New Roman" w:cs="Times New Roman" w:eastAsia="Times New Roman" w:hAnsi="Times New Roman"/>
          <w:sz w:val="16"/>
          <w:szCs w:val="16"/>
          <w:color w:val="auto"/>
        </w:rPr>
        <w:t xml:space="preserve"> G</w:t>
      </w:r>
      <w:r>
        <w:rPr>
          <w:rFonts w:ascii="Times New Roman" w:cs="Times New Roman" w:eastAsia="Times New Roman" w:hAnsi="Times New Roman"/>
          <w:sz w:val="13"/>
          <w:szCs w:val="13"/>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Jean-Marc Gilson</w:t>
      </w:r>
    </w:p>
    <w:p>
      <w:pPr>
        <w:jc w:val="center"/>
        <w:ind w:left="6320"/>
        <w:spacing w:after="0" w:line="215"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spacing w:after="0" w:line="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6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96" w:lineRule="exact"/>
        <w:rPr>
          <w:sz w:val="20"/>
          <w:szCs w:val="20"/>
          <w:color w:val="auto"/>
        </w:rPr>
      </w:pPr>
    </w:p>
    <w:p>
      <w:pPr>
        <w:ind w:left="320" w:hanging="315"/>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Corporation (the "registrant");</w:t>
      </w:r>
    </w:p>
    <w:p>
      <w:pPr>
        <w:spacing w:after="0" w:line="82" w:lineRule="exact"/>
        <w:rPr>
          <w:rFonts w:ascii="Times New Roman" w:cs="Times New Roman" w:eastAsia="Times New Roman" w:hAnsi="Times New Roman"/>
          <w:sz w:val="18"/>
          <w:szCs w:val="18"/>
          <w:color w:val="auto"/>
        </w:rPr>
      </w:pPr>
    </w:p>
    <w:p>
      <w:pPr>
        <w:ind w:left="480" w:right="80" w:hanging="475"/>
        <w:spacing w:after="0" w:line="326" w:lineRule="auto"/>
        <w:tabs>
          <w:tab w:leader="none" w:pos="31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80" w:right="40" w:hanging="475"/>
        <w:spacing w:after="0" w:line="268" w:lineRule="auto"/>
        <w:tabs>
          <w:tab w:leader="none" w:pos="31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18"/>
          <w:szCs w:val="18"/>
          <w:color w:val="auto"/>
        </w:rPr>
      </w:pPr>
    </w:p>
    <w:p>
      <w:pPr>
        <w:ind w:left="480" w:right="20" w:hanging="475"/>
        <w:spacing w:after="0" w:line="256" w:lineRule="auto"/>
        <w:tabs>
          <w:tab w:leader="none" w:pos="3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960" w:right="40" w:hanging="481"/>
        <w:spacing w:after="0" w:line="256" w:lineRule="auto"/>
        <w:tabs>
          <w:tab w:leader="none" w:pos="79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ind w:left="960" w:right="20" w:hanging="481"/>
        <w:spacing w:after="0" w:line="256" w:lineRule="auto"/>
        <w:tabs>
          <w:tab w:leader="none" w:pos="80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960" w:right="80" w:hanging="481"/>
        <w:spacing w:after="0" w:line="268" w:lineRule="auto"/>
        <w:tabs>
          <w:tab w:leader="none" w:pos="79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960" w:right="20" w:hanging="481"/>
        <w:spacing w:after="0" w:line="256" w:lineRule="auto"/>
        <w:tabs>
          <w:tab w:leader="none" w:pos="80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8"/>
          <w:szCs w:val="18"/>
          <w:color w:val="auto"/>
        </w:rPr>
      </w:pPr>
    </w:p>
    <w:p>
      <w:pPr>
        <w:ind w:left="480" w:right="460" w:hanging="475"/>
        <w:spacing w:after="0" w:line="268" w:lineRule="auto"/>
        <w:tabs>
          <w:tab w:leader="none" w:pos="3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8"/>
          <w:szCs w:val="18"/>
          <w:color w:val="auto"/>
        </w:rPr>
      </w:pPr>
    </w:p>
    <w:p>
      <w:pPr>
        <w:ind w:left="960" w:right="420" w:hanging="481"/>
        <w:spacing w:after="0" w:line="268" w:lineRule="auto"/>
        <w:tabs>
          <w:tab w:leader="none" w:pos="78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960" w:right="20" w:hanging="481"/>
        <w:spacing w:after="0" w:line="268" w:lineRule="auto"/>
        <w:tabs>
          <w:tab w:leader="none" w:pos="79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20"/>
        <w:spacing w:after="0"/>
        <w:tabs>
          <w:tab w:leader="none" w:pos="640" w:val="left"/>
          <w:tab w:leader="none" w:pos="796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6"/>
          <w:szCs w:val="16"/>
          <w:color w:val="auto"/>
        </w:rPr>
        <w:t>/s/ M. S</w:t>
      </w:r>
      <w:r>
        <w:rPr>
          <w:rFonts w:ascii="Times New Roman" w:cs="Times New Roman" w:eastAsia="Times New Roman" w:hAnsi="Times New Roman"/>
          <w:sz w:val="13"/>
          <w:szCs w:val="13"/>
          <w:color w:val="auto"/>
        </w:rPr>
        <w:t>TEVEN</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M. Steven Bender</w:t>
      </w:r>
    </w:p>
    <w:p>
      <w:pPr>
        <w:jc w:val="center"/>
        <w:ind w:left="6320"/>
        <w:spacing w:after="0" w:line="215" w:lineRule="auto"/>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69"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6" w:lineRule="exact"/>
        <w:rPr>
          <w:sz w:val="20"/>
          <w:szCs w:val="20"/>
          <w:color w:val="auto"/>
        </w:rPr>
      </w:pPr>
    </w:p>
    <w:p>
      <w:pPr>
        <w:jc w:val="both"/>
        <w:ind w:right="20"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of Westlake Corporation (the "Company") on Form 10-K for the fiscal year ended December 31, 2025 as filed with the Securities and Exchange Commission on the date hereof (the "Report"), I, Jean-Marc Gilson,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52" w:lineRule="exact"/>
        <w:rPr>
          <w:sz w:val="20"/>
          <w:szCs w:val="20"/>
          <w:color w:val="auto"/>
        </w:rPr>
      </w:pPr>
    </w:p>
    <w:p>
      <w:pPr>
        <w:ind w:left="400" w:hanging="395"/>
        <w:spacing w:after="0"/>
        <w:tabs>
          <w:tab w:leader="none" w:pos="4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0" w:lineRule="exact"/>
        <w:rPr>
          <w:sz w:val="20"/>
          <w:szCs w:val="20"/>
          <w:color w:val="auto"/>
        </w:rPr>
      </w:pPr>
    </w:p>
    <w:p>
      <w:pPr>
        <w:ind w:left="20"/>
        <w:spacing w:after="0"/>
        <w:tabs>
          <w:tab w:leader="none" w:pos="640" w:val="left"/>
          <w:tab w:leader="none" w:pos="798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6"/>
          <w:szCs w:val="16"/>
          <w:color w:val="auto"/>
        </w:rPr>
        <w:t>/s/ J</w:t>
      </w:r>
      <w:r>
        <w:rPr>
          <w:rFonts w:ascii="Times New Roman" w:cs="Times New Roman" w:eastAsia="Times New Roman" w:hAnsi="Times New Roman"/>
          <w:sz w:val="13"/>
          <w:szCs w:val="13"/>
          <w:color w:val="auto"/>
        </w:rPr>
        <w:t>EAN-MARC</w:t>
      </w:r>
      <w:r>
        <w:rPr>
          <w:rFonts w:ascii="Times New Roman" w:cs="Times New Roman" w:eastAsia="Times New Roman" w:hAnsi="Times New Roman"/>
          <w:sz w:val="16"/>
          <w:szCs w:val="16"/>
          <w:color w:val="auto"/>
        </w:rPr>
        <w:t xml:space="preserve"> G</w:t>
      </w:r>
      <w:r>
        <w:rPr>
          <w:rFonts w:ascii="Times New Roman" w:cs="Times New Roman" w:eastAsia="Times New Roman" w:hAnsi="Times New Roman"/>
          <w:sz w:val="13"/>
          <w:szCs w:val="13"/>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Jean-Marc Gilson</w:t>
      </w:r>
    </w:p>
    <w:p>
      <w:pPr>
        <w:jc w:val="center"/>
        <w:ind w:left="6320"/>
        <w:spacing w:after="0" w:line="215"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spacing w:after="0" w:line="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8" w:lineRule="exact"/>
        <w:rPr>
          <w:sz w:val="20"/>
          <w:szCs w:val="20"/>
          <w:color w:val="auto"/>
        </w:rPr>
      </w:pPr>
    </w:p>
    <w:p>
      <w:pPr>
        <w:ind w:left="20"/>
        <w:spacing w:after="0"/>
        <w:tabs>
          <w:tab w:leader="none" w:pos="640" w:val="left"/>
          <w:tab w:leader="none" w:pos="796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6"/>
          <w:szCs w:val="16"/>
          <w:color w:val="auto"/>
        </w:rPr>
        <w:t>/s/ M. S</w:t>
      </w:r>
      <w:r>
        <w:rPr>
          <w:rFonts w:ascii="Times New Roman" w:cs="Times New Roman" w:eastAsia="Times New Roman" w:hAnsi="Times New Roman"/>
          <w:sz w:val="13"/>
          <w:szCs w:val="13"/>
          <w:color w:val="auto"/>
        </w:rPr>
        <w:t>TEVEN</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M. Steven Bender</w:t>
      </w:r>
    </w:p>
    <w:p>
      <w:pPr>
        <w:jc w:val="center"/>
        <w:ind w:left="6300"/>
        <w:spacing w:after="0" w:line="215" w:lineRule="auto"/>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1)"/>
      <w:numFmt w:val="decimal"/>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1."/>
      <w:numFmt w:val="decimal"/>
      <w:start w:val="2"/>
    </w:lvl>
  </w:abstractNum>
  <w:abstractNum w:abstractNumId="20">
    <w:nsid w:val="3F6AB60F"/>
    <w:multiLevelType w:val="hybridMultilevel"/>
    <w:lvl w:ilvl="0">
      <w:lvlJc w:val="left"/>
      <w:lvlText w:val="%1."/>
      <w:numFmt w:val="decimal"/>
      <w:start w:val="7"/>
    </w:lvl>
  </w:abstractNum>
  <w:abstractNum w:abstractNumId="21">
    <w:nsid w:val="61574095"/>
    <w:multiLevelType w:val="hybridMultilevel"/>
    <w:lvl w:ilvl="0">
      <w:lvlJc w:val="left"/>
      <w:lvlText w:val="%1."/>
      <w:numFmt w:val="decimal"/>
      <w:start w:val="8"/>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1)"/>
      <w:numFmt w:val="decimal"/>
      <w:start w:val="1"/>
    </w:lvl>
  </w:abstractNum>
  <w:abstractNum w:abstractNumId="25">
    <w:nsid w:val="310C50B3"/>
    <w:multiLevelType w:val="hybridMultilevel"/>
    <w:lvl w:ilvl="0">
      <w:lvlJc w:val="left"/>
      <w:lvlText w:val="%1."/>
      <w:numFmt w:val="decimal"/>
      <w:start w:val="13"/>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1."/>
      <w:numFmt w:val="decimal"/>
      <w:start w:val="22"/>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decimal"/>
      <w:start w:val="19"/>
    </w:lvl>
  </w:abstractNum>
  <w:abstractNum w:abstractNumId="34">
    <w:nsid w:val="100F8FCA"/>
    <w:multiLevelType w:val="hybridMultilevel"/>
    <w:lvl w:ilvl="0">
      <w:lvlJc w:val="left"/>
      <w:lvlText w:val="%1"/>
      <w:numFmt w:val="decimal"/>
      <w:start w:val="97"/>
    </w:lvl>
  </w:abstractNum>
  <w:abstractNum w:abstractNumId="35">
    <w:nsid w:val="6590700B"/>
    <w:multiLevelType w:val="hybridMultilevel"/>
    <w:lvl w:ilvl="0">
      <w:lvlJc w:val="left"/>
      <w:lvlText w:val="%1"/>
      <w:numFmt w:val="decimal"/>
      <w:start w:val="104"/>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1)"/>
      <w:numFmt w:val="decimal"/>
      <w:start w:val="4"/>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lowerLetter"/>
      <w:start w:val="1"/>
    </w:lvl>
    <w:lvl w:ilvl="1">
      <w:lvlJc w:val="left"/>
      <w:lvlText w:val="(%2)"/>
      <w:numFmt w:val="lowerRoman"/>
      <w:start w:val="1"/>
    </w:lvl>
  </w:abstractNum>
  <w:abstractNum w:abstractNumId="42">
    <w:nsid w:val="168E121F"/>
    <w:multiLevelType w:val="hybridMultilevel"/>
    <w:lvl w:ilvl="0">
      <w:lvlJc w:val="left"/>
      <w:lvlText w:val="%1"/>
      <w:numFmt w:val="lowerLetter"/>
      <w:start w:val="1"/>
    </w:lvl>
    <w:lvl w:ilvl="1">
      <w:lvlJc w:val="left"/>
      <w:lvlText w:val="(%2)"/>
      <w:numFmt w:val="lowerLetter"/>
      <w:start w:val="2"/>
    </w:lvl>
  </w:abstractNum>
  <w:abstractNum w:abstractNumId="43">
    <w:nsid w:val="1EBA5D23"/>
    <w:multiLevelType w:val="hybridMultilevel"/>
    <w:lvl w:ilvl="0">
      <w:lvlJc w:val="left"/>
      <w:lvlText w:val="(%1)"/>
      <w:numFmt w:val="lowerLetter"/>
      <w:start w:val="4"/>
    </w:lvl>
    <w:lvl w:ilvl="1">
      <w:lvlJc w:val="left"/>
      <w:lvlText w:val="%2"/>
      <w:numFmt w:val="lowerLetter"/>
      <w:start w:val="1"/>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3"/>
    </w:lvl>
  </w:abstractNum>
  <w:abstractNum w:abstractNumId="46">
    <w:nsid w:val="540A471C"/>
    <w:multiLevelType w:val="hybridMultilevel"/>
    <w:lvl w:ilvl="0">
      <w:lvlJc w:val="left"/>
      <w:lvlText w:val="(%1)"/>
      <w:numFmt w:val="lowerLetter"/>
      <w:start w:val="1"/>
    </w:lvl>
  </w:abstractNum>
  <w:abstractNum w:abstractNumId="47">
    <w:nsid w:val="7BD3EE7B"/>
    <w:multiLevelType w:val="hybridMultilevel"/>
    <w:lvl w:ilvl="0">
      <w:lvlJc w:val="left"/>
      <w:lvlText w:val="%1"/>
      <w:numFmt w:val="lowerLetter"/>
      <w:start w:val="1"/>
    </w:lvl>
    <w:lvl w:ilvl="1">
      <w:lvlJc w:val="left"/>
      <w:lvlText w:val="(%2)"/>
      <w:numFmt w:val="lowerLetter"/>
      <w:start w:val="2"/>
    </w:lvl>
  </w:abstractNum>
  <w:abstractNum w:abstractNumId="48">
    <w:nsid w:val="51D9C564"/>
    <w:multiLevelType w:val="hybridMultilevel"/>
    <w:lvl w:ilvl="0">
      <w:lvlJc w:val="left"/>
      <w:lvlText w:val="(%1)"/>
      <w:numFmt w:val="lowerLetter"/>
      <w:start w:val="3"/>
    </w:lvl>
    <w:lvl w:ilvl="1">
      <w:lvlJc w:val="left"/>
      <w:lvlText w:val="%2"/>
      <w:numFmt w:val="lowerLetter"/>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lowerLetter"/>
      <w:start w:val="1"/>
    </w:lvl>
    <w:lvl w:ilvl="1">
      <w:lvlJc w:val="left"/>
      <w:lvlText w:val="(%2)"/>
      <w:numFmt w:val="lowerRoman"/>
      <w:start w:val="1"/>
    </w:lvl>
  </w:abstractNum>
  <w:abstractNum w:abstractNumId="51">
    <w:nsid w:val="11447B73"/>
    <w:multiLevelType w:val="hybridMultilevel"/>
    <w:lvl w:ilvl="0">
      <w:lvlJc w:val="left"/>
      <w:lvlText w:val="(%1)"/>
      <w:numFmt w:val="lowerLetter"/>
      <w:start w:val="4"/>
    </w:lvl>
    <w:lvl w:ilvl="1">
      <w:lvlJc w:val="left"/>
      <w:lvlText w:val="%2"/>
      <w:numFmt w:val="lowerRoman"/>
      <w:start w:val="1"/>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1)"/>
      <w:numFmt w:val="decimal"/>
      <w:start w:val="12"/>
    </w:lvl>
  </w:abstractNum>
  <w:abstractNum w:abstractNumId="54">
    <w:nsid w:val="8F2B15E"/>
    <w:multiLevelType w:val="hybridMultilevel"/>
    <w:lvl w:ilvl="0">
      <w:lvlJc w:val="left"/>
      <w:lvlText w:val="(%1)"/>
      <w:numFmt w:val="lowerLetter"/>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2"/>
    </w:lvl>
  </w:abstractNum>
  <w:abstractNum w:abstractNumId="57">
    <w:nsid w:val="68EB2F63"/>
    <w:multiLevelType w:val="hybridMultilevel"/>
    <w:lvl w:ilvl="0">
      <w:lvlJc w:val="left"/>
      <w:lvlText w:val="%1."/>
      <w:numFmt w:val="decimal"/>
      <w:start w:val="3"/>
    </w:lvl>
  </w:abstractNum>
  <w:abstractNum w:abstractNumId="58">
    <w:nsid w:val="4962813B"/>
    <w:multiLevelType w:val="hybridMultilevel"/>
    <w:lvl w:ilvl="0">
      <w:lvlJc w:val="left"/>
      <w:lvlText w:val="%1."/>
      <w:numFmt w:val="decimal"/>
      <w:start w:val="4"/>
    </w:lvl>
  </w:abstractNum>
  <w:abstractNum w:abstractNumId="59">
    <w:nsid w:val="60B6DF70"/>
    <w:multiLevelType w:val="hybridMultilevel"/>
    <w:lvl w:ilvl="0">
      <w:lvlJc w:val="left"/>
      <w:lvlText w:val="%1."/>
      <w:numFmt w:val="decimal"/>
      <w:start w:val="5"/>
    </w:lvl>
  </w:abstractNum>
  <w:abstractNum w:abstractNumId="60">
    <w:nsid w:val="6A5EE64"/>
    <w:multiLevelType w:val="hybridMultilevel"/>
    <w:lvl w:ilvl="0">
      <w:lvlJc w:val="left"/>
      <w:lvlText w:val="%1"/>
      <w:numFmt w:val="lowerRoman"/>
      <w:start w:val="1"/>
    </w:lvl>
    <w:lvl w:ilvl="1">
      <w:lvlJc w:val="left"/>
      <w:lvlText w:val="(%2)"/>
      <w:numFmt w:val="lowerRoman"/>
      <w:start w:val="1"/>
    </w:lvl>
  </w:abstractNum>
  <w:abstractNum w:abstractNumId="61">
    <w:nsid w:val="14330624"/>
    <w:multiLevelType w:val="hybridMultilevel"/>
    <w:lvl w:ilvl="0">
      <w:lvlJc w:val="left"/>
      <w:lvlText w:val="(%1)"/>
      <w:numFmt w:val="lowerRoman"/>
      <w:start w:val="3"/>
    </w:lvl>
    <w:lvl w:ilvl="1">
      <w:lvlJc w:val="left"/>
      <w:lvlText w:val="%2"/>
      <w:numFmt w:val="lowerRoman"/>
      <w:start w:val="1"/>
    </w:lvl>
  </w:abstractNum>
  <w:abstractNum w:abstractNumId="62">
    <w:nsid w:val="7FFFCA11"/>
    <w:multiLevelType w:val="hybridMultilevel"/>
    <w:lvl w:ilvl="0">
      <w:lvlJc w:val="left"/>
      <w:lvlText w:val="%1."/>
      <w:numFmt w:val="decimal"/>
      <w:start w:val="6"/>
    </w:lvl>
  </w:abstractNum>
  <w:abstractNum w:abstractNumId="63">
    <w:nsid w:val="1A27709E"/>
    <w:multiLevelType w:val="hybridMultilevel"/>
    <w:lvl w:ilvl="0">
      <w:lvlJc w:val="left"/>
      <w:lvlText w:val="%1."/>
      <w:numFmt w:val="decimal"/>
      <w:start w:val="7"/>
    </w:lvl>
  </w:abstractNum>
  <w:abstractNum w:abstractNumId="64">
    <w:nsid w:val="71EA1109"/>
    <w:multiLevelType w:val="hybridMultilevel"/>
    <w:lvl w:ilvl="0">
      <w:lvlJc w:val="left"/>
      <w:lvlText w:val="%1."/>
      <w:numFmt w:val="decimal"/>
      <w:start w:val="8"/>
    </w:lvl>
    <w:lvl w:ilvl="1">
      <w:lvlJc w:val="left"/>
      <w:lvlText w:val="(%2)"/>
      <w:numFmt w:val="lowerLetter"/>
      <w:start w:val="1"/>
    </w:lvl>
  </w:abstractNum>
  <w:abstractNum w:abstractNumId="65">
    <w:nsid w:val="100F59DC"/>
    <w:multiLevelType w:val="hybridMultilevel"/>
    <w:lvl w:ilvl="0">
      <w:lvlJc w:val="left"/>
      <w:lvlText w:val="%1."/>
      <w:numFmt w:val="decimal"/>
      <w:start w:val="10"/>
    </w:lvl>
  </w:abstractNum>
  <w:abstractNum w:abstractNumId="66">
    <w:nsid w:val="7FB7E0AA"/>
    <w:multiLevelType w:val="hybridMultilevel"/>
    <w:lvl w:ilvl="0">
      <w:lvlJc w:val="left"/>
      <w:lvlText w:val="%1."/>
      <w:numFmt w:val="decimal"/>
      <w:start w:val="11"/>
    </w:lvl>
  </w:abstractNum>
  <w:abstractNum w:abstractNumId="67">
    <w:nsid w:val="6EB5BD4"/>
    <w:multiLevelType w:val="hybridMultilevel"/>
    <w:lvl w:ilvl="0">
      <w:lvlJc w:val="left"/>
      <w:lvlText w:val="(%1)"/>
      <w:numFmt w:val="lowerRoman"/>
      <w:start w:val="5"/>
    </w:lvl>
  </w:abstractNum>
  <w:abstractNum w:abstractNumId="68">
    <w:nsid w:val="6F6DD9AC"/>
    <w:multiLevelType w:val="hybridMultilevel"/>
    <w:lvl w:ilvl="0">
      <w:lvlJc w:val="left"/>
      <w:lvlText w:val="(%1)"/>
      <w:numFmt w:val="lowerRoman"/>
      <w:start w:val="8"/>
    </w:lvl>
  </w:abstractNum>
  <w:abstractNum w:abstractNumId="69">
    <w:nsid w:val="94211F2"/>
    <w:multiLevelType w:val="hybridMultilevel"/>
    <w:lvl w:ilvl="0">
      <w:lvlJc w:val="left"/>
      <w:lvlText w:val="%1."/>
      <w:numFmt w:val="decimal"/>
      <w:start w:val="12"/>
    </w:lvl>
  </w:abstractNum>
  <w:abstractNum w:abstractNumId="70">
    <w:nsid w:val="885E1B"/>
    <w:multiLevelType w:val="hybridMultilevel"/>
    <w:lvl w:ilvl="0">
      <w:lvlJc w:val="left"/>
      <w:lvlText w:val="(%1)"/>
      <w:numFmt w:val="lowerRoman"/>
      <w:start w:val="2"/>
    </w:lvl>
  </w:abstractNum>
  <w:abstractNum w:abstractNumId="71">
    <w:nsid w:val="76272110"/>
    <w:multiLevelType w:val="hybridMultilevel"/>
    <w:lvl w:ilvl="0">
      <w:lvlJc w:val="left"/>
      <w:lvlText w:val="%1."/>
      <w:numFmt w:val="decimal"/>
      <w:start w:val="13"/>
    </w:lvl>
  </w:abstractNum>
  <w:abstractNum w:abstractNumId="72">
    <w:nsid w:val="4C04A8AF"/>
    <w:multiLevelType w:val="hybridMultilevel"/>
    <w:lvl w:ilvl="0">
      <w:lvlJc w:val="left"/>
      <w:lvlText w:val="%1."/>
      <w:numFmt w:val="decimal"/>
      <w:start w:val="14"/>
    </w:lvl>
  </w:abstractNum>
  <w:abstractNum w:abstractNumId="73">
    <w:nsid w:val="1716703B"/>
    <w:multiLevelType w:val="hybridMultilevel"/>
    <w:lvl w:ilvl="0">
      <w:lvlJc w:val="left"/>
      <w:lvlText w:val="%1."/>
      <w:numFmt w:val="decimal"/>
      <w:start w:val="15"/>
    </w:lvl>
  </w:abstractNum>
  <w:abstractNum w:abstractNumId="74">
    <w:nsid w:val="14E17E33"/>
    <w:multiLevelType w:val="hybridMultilevel"/>
    <w:lvl w:ilvl="0">
      <w:lvlJc w:val="left"/>
      <w:lvlText w:val="%1."/>
      <w:numFmt w:val="decimal"/>
      <w:start w:val="16"/>
    </w:lvl>
  </w:abstractNum>
  <w:abstractNum w:abstractNumId="75">
    <w:nsid w:val="3222E7CD"/>
    <w:multiLevelType w:val="hybridMultilevel"/>
    <w:lvl w:ilvl="0">
      <w:lvlJc w:val="left"/>
      <w:lvlText w:val="%1."/>
      <w:numFmt w:val="decimal"/>
      <w:start w:val="17"/>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2"/>
    </w:lvl>
  </w:abstractNum>
  <w:abstractNum w:abstractNumId="78">
    <w:nsid w:val="2DF6D648"/>
    <w:multiLevelType w:val="hybridMultilevel"/>
    <w:lvl w:ilvl="0">
      <w:lvlJc w:val="left"/>
      <w:lvlText w:val="%1."/>
      <w:numFmt w:val="decimal"/>
      <w:start w:val="3"/>
    </w:lvl>
  </w:abstractNum>
  <w:abstractNum w:abstractNumId="79">
    <w:nsid w:val="46B7D447"/>
    <w:multiLevelType w:val="hybridMultilevel"/>
    <w:lvl w:ilvl="0">
      <w:lvlJc w:val="left"/>
      <w:lvlText w:val="%1."/>
      <w:numFmt w:val="decimal"/>
      <w:start w:val="4"/>
    </w:lvl>
  </w:abstractNum>
  <w:abstractNum w:abstractNumId="80">
    <w:nsid w:val="4A2AC315"/>
    <w:multiLevelType w:val="hybridMultilevel"/>
    <w:lvl w:ilvl="0">
      <w:lvlJc w:val="left"/>
      <w:lvlText w:val="%1."/>
      <w:numFmt w:val="decimal"/>
      <w:start w:val="5"/>
    </w:lvl>
  </w:abstractNum>
  <w:abstractNum w:abstractNumId="81">
    <w:nsid w:val="39EE015C"/>
    <w:multiLevelType w:val="hybridMultilevel"/>
    <w:lvl w:ilvl="0">
      <w:lvlJc w:val="left"/>
      <w:lvlText w:val="%1"/>
      <w:numFmt w:val="lowerRoman"/>
      <w:start w:val="1"/>
    </w:lvl>
    <w:lvl w:ilvl="1">
      <w:lvlJc w:val="left"/>
      <w:lvlText w:val="(%2)"/>
      <w:numFmt w:val="lowerRoman"/>
      <w:start w:val="1"/>
    </w:lvl>
  </w:abstractNum>
  <w:abstractNum w:abstractNumId="82">
    <w:nsid w:val="57FC4FBB"/>
    <w:multiLevelType w:val="hybridMultilevel"/>
    <w:lvl w:ilvl="0">
      <w:lvlJc w:val="left"/>
      <w:lvlText w:val="(%1)"/>
      <w:numFmt w:val="lowerRoman"/>
      <w:start w:val="3"/>
    </w:lvl>
    <w:lvl w:ilvl="1">
      <w:lvlJc w:val="left"/>
      <w:lvlText w:val="%2"/>
      <w:numFmt w:val="lowerRoman"/>
      <w:start w:val="1"/>
    </w:lvl>
  </w:abstractNum>
  <w:abstractNum w:abstractNumId="83">
    <w:nsid w:val="CC1016F"/>
    <w:multiLevelType w:val="hybridMultilevel"/>
    <w:lvl w:ilvl="0">
      <w:lvlJc w:val="left"/>
      <w:lvlText w:val="%1."/>
      <w:numFmt w:val="decimal"/>
      <w:start w:val="6"/>
    </w:lvl>
  </w:abstractNum>
  <w:abstractNum w:abstractNumId="84">
    <w:nsid w:val="43F18422"/>
    <w:multiLevelType w:val="hybridMultilevel"/>
    <w:lvl w:ilvl="0">
      <w:lvlJc w:val="left"/>
      <w:lvlText w:val="%1."/>
      <w:numFmt w:val="decimal"/>
      <w:start w:val="7"/>
    </w:lvl>
  </w:abstractNum>
  <w:abstractNum w:abstractNumId="85">
    <w:nsid w:val="60EF0119"/>
    <w:multiLevelType w:val="hybridMultilevel"/>
    <w:lvl w:ilvl="0">
      <w:lvlJc w:val="left"/>
      <w:lvlText w:val="%1."/>
      <w:numFmt w:val="decimal"/>
      <w:start w:val="8"/>
    </w:lvl>
    <w:lvl w:ilvl="1">
      <w:lvlJc w:val="left"/>
      <w:lvlText w:val="(%2)"/>
      <w:numFmt w:val="lowerLetter"/>
      <w:start w:val="1"/>
    </w:lvl>
  </w:abstractNum>
  <w:abstractNum w:abstractNumId="86">
    <w:nsid w:val="26F324BA"/>
    <w:multiLevelType w:val="hybridMultilevel"/>
    <w:lvl w:ilvl="0">
      <w:lvlJc w:val="left"/>
      <w:lvlText w:val="%1."/>
      <w:numFmt w:val="decimal"/>
      <w:start w:val="10"/>
    </w:lvl>
  </w:abstractNum>
  <w:abstractNum w:abstractNumId="87">
    <w:nsid w:val="7F01579B"/>
    <w:multiLevelType w:val="hybridMultilevel"/>
    <w:lvl w:ilvl="0">
      <w:lvlJc w:val="left"/>
      <w:lvlText w:val="%1."/>
      <w:numFmt w:val="decimal"/>
      <w:start w:val="11"/>
    </w:lvl>
  </w:abstractNum>
  <w:abstractNum w:abstractNumId="88">
    <w:nsid w:val="49DA307D"/>
    <w:multiLevelType w:val="hybridMultilevel"/>
    <w:lvl w:ilvl="0">
      <w:lvlJc w:val="left"/>
      <w:lvlText w:val="(%1)"/>
      <w:numFmt w:val="lowerRoman"/>
      <w:start w:val="5"/>
    </w:lvl>
  </w:abstractNum>
  <w:abstractNum w:abstractNumId="89">
    <w:nsid w:val="7055A5F5"/>
    <w:multiLevelType w:val="hybridMultilevel"/>
    <w:lvl w:ilvl="0">
      <w:lvlJc w:val="left"/>
      <w:lvlText w:val="(%1)"/>
      <w:numFmt w:val="lowerRoman"/>
      <w:start w:val="8"/>
    </w:lvl>
  </w:abstractNum>
  <w:abstractNum w:abstractNumId="90">
    <w:nsid w:val="5FB8370B"/>
    <w:multiLevelType w:val="hybridMultilevel"/>
    <w:lvl w:ilvl="0">
      <w:lvlJc w:val="left"/>
      <w:lvlText w:val="%1."/>
      <w:numFmt w:val="decimal"/>
      <w:start w:val="12"/>
    </w:lvl>
  </w:abstractNum>
  <w:abstractNum w:abstractNumId="91">
    <w:nsid w:val="50801EE1"/>
    <w:multiLevelType w:val="hybridMultilevel"/>
    <w:lvl w:ilvl="0">
      <w:lvlJc w:val="left"/>
      <w:lvlText w:val="(%1)"/>
      <w:numFmt w:val="lowerRoman"/>
      <w:start w:val="2"/>
    </w:lvl>
  </w:abstractNum>
  <w:abstractNum w:abstractNumId="92">
    <w:nsid w:val="488AC1A"/>
    <w:multiLevelType w:val="hybridMultilevel"/>
    <w:lvl w:ilvl="0">
      <w:lvlJc w:val="left"/>
      <w:lvlText w:val="(%1)"/>
      <w:numFmt w:val="lowerRoman"/>
      <w:start w:val="3"/>
    </w:lvl>
  </w:abstractNum>
  <w:abstractNum w:abstractNumId="93">
    <w:nsid w:val="5FB8011C"/>
    <w:multiLevelType w:val="hybridMultilevel"/>
    <w:lvl w:ilvl="0">
      <w:lvlJc w:val="left"/>
      <w:lvlText w:val="%1."/>
      <w:numFmt w:val="decimal"/>
      <w:start w:val="13"/>
    </w:lvl>
  </w:abstractNum>
  <w:abstractNum w:abstractNumId="94">
    <w:nsid w:val="6AA78F7F"/>
    <w:multiLevelType w:val="hybridMultilevel"/>
    <w:lvl w:ilvl="0">
      <w:lvlJc w:val="left"/>
      <w:lvlText w:val="%1."/>
      <w:numFmt w:val="decimal"/>
      <w:start w:val="14"/>
    </w:lvl>
  </w:abstractNum>
  <w:abstractNum w:abstractNumId="95">
    <w:nsid w:val="7672BD23"/>
    <w:multiLevelType w:val="hybridMultilevel"/>
    <w:lvl w:ilvl="0">
      <w:lvlJc w:val="left"/>
      <w:lvlText w:val="%1."/>
      <w:numFmt w:val="decimal"/>
      <w:start w:val="15"/>
    </w:lvl>
  </w:abstractNum>
  <w:abstractNum w:abstractNumId="96">
    <w:nsid w:val="6FC75AF8"/>
    <w:multiLevelType w:val="hybridMultilevel"/>
    <w:lvl w:ilvl="0">
      <w:lvlJc w:val="left"/>
      <w:lvlText w:val="%1."/>
      <w:numFmt w:val="decimal"/>
      <w:start w:val="16"/>
    </w:lvl>
  </w:abstractNum>
  <w:abstractNum w:abstractNumId="97">
    <w:nsid w:val="6A5F7029"/>
    <w:multiLevelType w:val="hybridMultilevel"/>
    <w:lvl w:ilvl="0">
      <w:lvlJc w:val="left"/>
      <w:lvlText w:val="%1."/>
      <w:numFmt w:val="decimal"/>
      <w:start w:val="17"/>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7"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36" Type="http://schemas.openxmlformats.org/officeDocument/2006/relationships/hyperlink" Target="https://www.sec.gov/Archives/edgar/data/1262823/000126282324000014/exhibit3112312310-k.htm" TargetMode="External"/><Relationship Id="rId137" Type="http://schemas.openxmlformats.org/officeDocument/2006/relationships/hyperlink" Target="https://www.sec.gov/Archives/edgar/data/0001262823/000119312522046627/d270059dex32.htm" TargetMode="External"/><Relationship Id="rId138" Type="http://schemas.openxmlformats.org/officeDocument/2006/relationships/hyperlink" Target="https://www.sec.gov/Archives/edgar/data/1262823/000126282324000014/exhibit4112312310-k.htm" TargetMode="External"/><Relationship Id="rId139" Type="http://schemas.openxmlformats.org/officeDocument/2006/relationships/hyperlink" Target="https://www.sec.gov/Archives/edgar/data/1262823/000119312506005830/dex41.htm" TargetMode="External"/><Relationship Id="rId140" Type="http://schemas.openxmlformats.org/officeDocument/2006/relationships/hyperlink" Target="https://www.sec.gov/Archives/edgar/data/1262823/000119312516678207/d235680dex42.htm" TargetMode="External"/><Relationship Id="rId141" Type="http://schemas.openxmlformats.org/officeDocument/2006/relationships/hyperlink" Target="https://www.sec.gov/Archives/edgar/data/1262823/000119312517353189/d499857dex42.htm" TargetMode="External"/><Relationship Id="rId142" Type="http://schemas.openxmlformats.org/officeDocument/2006/relationships/hyperlink" Target="https://www.sec.gov/Archives/edgar/data/1262823/000119312517353189/d499857dex43.htm" TargetMode="External"/><Relationship Id="rId143" Type="http://schemas.openxmlformats.org/officeDocument/2006/relationships/hyperlink" Target="https://www.sec.gov/Archives/edgar/data/1262823/000119312519195643/d770084dex42.htm" TargetMode="External"/><Relationship Id="rId144" Type="http://schemas.openxmlformats.org/officeDocument/2006/relationships/hyperlink" Target="https://www.sec.gov/Archives/edgar/data/1262823/000119312520167137/d943281dex42.htm" TargetMode="External"/><Relationship Id="rId145" Type="http://schemas.openxmlformats.org/officeDocument/2006/relationships/hyperlink" Target="https://www.sec.gov/Archives/edgar/data/0001262823/000119312521250937/d198475dex42.htm" TargetMode="External"/><Relationship Id="rId146" Type="http://schemas.openxmlformats.org/officeDocument/2006/relationships/hyperlink" Target="https://www.sec.gov/Archives/edgar/data/1262823/000119312519195643/d770084dex44.htm" TargetMode="External"/><Relationship Id="rId148" Type="http://schemas.openxmlformats.org/officeDocument/2006/relationships/hyperlink" Target="https://www.sec.gov/Archives/edgar/data/1262823/000119312517353189/d499857dex46.htm" TargetMode="External"/><Relationship Id="rId149" Type="http://schemas.openxmlformats.org/officeDocument/2006/relationships/hyperlink" Target="https://www.sec.gov/Archives/edgar/data/1604665/000160466520000007/ex10912311910k.htm" TargetMode="External"/><Relationship Id="rId150" Type="http://schemas.openxmlformats.org/officeDocument/2006/relationships/hyperlink" Target="https://www.sec.gov/Archives/edgar/data/1604665/000160466518000027/exhibit101_20180930.htm" TargetMode="External"/><Relationship Id="rId151" Type="http://schemas.openxmlformats.org/officeDocument/2006/relationships/hyperlink" Target="https://www.sec.gov/Archives/edgar/data/1604665/000119312522195001/d278975dex101.htm" TargetMode="External"/><Relationship Id="rId152" Type="http://schemas.openxmlformats.org/officeDocument/2006/relationships/hyperlink" Target="https://www.sec.gov/Archives/edgar/data/1604665/000119312515162335/d919736dex101.htm" TargetMode="External"/><Relationship Id="rId153" Type="http://schemas.openxmlformats.org/officeDocument/2006/relationships/hyperlink" Target="https://www.sec.gov/Archives/edgar/data/1604665/000160466517000025/exhibit101_20170630.htm" TargetMode="External"/><Relationship Id="rId154" Type="http://schemas.openxmlformats.org/officeDocument/2006/relationships/hyperlink" Target="https://www.sec.gov/Archives/edgar/data/1262823/000126282318000008/exhibit101212311710-k.htm" TargetMode="External"/><Relationship Id="rId155" Type="http://schemas.openxmlformats.org/officeDocument/2006/relationships/hyperlink" Target="https://www.sec.gov/Archives/edgar/data/1604665/000160466520000015/exhibit10120200331.htm" TargetMode="External"/><Relationship Id="rId156" Type="http://schemas.openxmlformats.org/officeDocument/2006/relationships/hyperlink" Target="https://www.sec.gov/Archives/edgar/data/1604665/000119312522195001/d278975dex102.htm" TargetMode="External"/><Relationship Id="rId157" Type="http://schemas.openxmlformats.org/officeDocument/2006/relationships/hyperlink" Target="https://www.sec.gov/Archives/edgar/data/1262823/000119312522171147/d263815dex101.htm" TargetMode="External"/><Relationship Id="rId158" Type="http://schemas.openxmlformats.org/officeDocument/2006/relationships/hyperlink" Target="https://www.sec.gov/Archives/edgar/data/1262823/000095012904004610/h15326a1exv10w13.txt" TargetMode="External"/><Relationship Id="rId159" Type="http://schemas.openxmlformats.org/officeDocument/2006/relationships/hyperlink" Target="https://www.sec.gov/Archives/edgar/data/1262823/000119312517114909/d314589ddef14a.htm" TargetMode="External"/><Relationship Id="rId160" Type="http://schemas.openxmlformats.org/officeDocument/2006/relationships/hyperlink" Target="https://www.sec.gov/ix?doc=/Archives/edgar/data/1262823/000119312523087085/d446880ddef14a.htm" TargetMode="External"/><Relationship Id="rId161" Type="http://schemas.openxmlformats.org/officeDocument/2006/relationships/hyperlink" Target="https://www.sec.gov/Archives/edgar/data/1262823/000126282323000031/exhibit102_20230630.htm" TargetMode="External"/><Relationship Id="rId164" Type="http://schemas.openxmlformats.org/officeDocument/2006/relationships/hyperlink" Target="https://www.sec.gov/Archives/edgar/data/1262823/000126282317000031/exhibit101_20170930.htm" TargetMode="External"/><Relationship Id="rId165" Type="http://schemas.openxmlformats.org/officeDocument/2006/relationships/hyperlink" Target="https://www.sec.gov/Archives/edgar/data/0001262823/000126282315000013/exhibit103_20150331.htm" TargetMode="External"/><Relationship Id="rId166" Type="http://schemas.openxmlformats.org/officeDocument/2006/relationships/hyperlink" Target="https://www.sec.gov/Archives/edgar/data/0001262823/000126282318000008/exhibit102112311710-k.htm" TargetMode="External"/><Relationship Id="rId167" Type="http://schemas.openxmlformats.org/officeDocument/2006/relationships/hyperlink" Target="https://www.sec.gov/Archives/edgar/data/0001262823/000126282321000023/exhibit101912312010-k.htm" TargetMode="External"/><Relationship Id="rId168" Type="http://schemas.openxmlformats.org/officeDocument/2006/relationships/hyperlink" Target="https://www.sec.gov/Archives/edgar/data/1262823/000126282323000031/exhibit103_20230630.htm" TargetMode="External"/><Relationship Id="rId169" Type="http://schemas.openxmlformats.org/officeDocument/2006/relationships/hyperlink" Target="https://www.sec.gov/Archives/edgar/data/1262823/000126282324000014/exhibit101912312310-k.htm" TargetMode="External"/><Relationship Id="rId170" Type="http://schemas.openxmlformats.org/officeDocument/2006/relationships/hyperlink" Target="https://www.sec.gov/Archives/edgar/data/1262823/000126282324000014/exhibit102012312310-k.htm" TargetMode="External"/><Relationship Id="rId171" Type="http://schemas.openxmlformats.org/officeDocument/2006/relationships/hyperlink" Target="https://www.sec.gov/Archives/edgar/data/1262823/000126282325000011/exhibit1912312410-k.htm" TargetMode="External"/><Relationship Id="rId172" Type="http://schemas.openxmlformats.org/officeDocument/2006/relationships/hyperlink" Target="https://www.sec.gov/Archives/edgar/data/1262823/000126282324000014/exhibit97123123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2026-02-26T13:32:41Z</dcterms:created>
  <dcterms:modified xsi:type="dcterms:W3CDTF">2026-02-26T13:32:41Z</dcterms:modified>
</cp:coreProperties>
</file>